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6AD" w:rsidRPr="000F1EA3" w:rsidRDefault="00EE22AD" w:rsidP="00EE22AD">
      <w:pPr>
        <w:pStyle w:val="BATitle"/>
        <w:jc w:val="left"/>
      </w:pPr>
      <w:r w:rsidRPr="000F1EA3">
        <w:t xml:space="preserve">Enhanced </w:t>
      </w:r>
      <w:r w:rsidR="00FE317F" w:rsidRPr="000F1EA3">
        <w:t xml:space="preserve">Protein Extraction </w:t>
      </w:r>
      <w:r w:rsidR="00160012" w:rsidRPr="000F1EA3">
        <w:t>f</w:t>
      </w:r>
      <w:r w:rsidR="00FE317F" w:rsidRPr="000F1EA3">
        <w:t xml:space="preserve">rom Oilseed Cakes </w:t>
      </w:r>
      <w:r w:rsidR="00160012" w:rsidRPr="000F1EA3">
        <w:t>u</w:t>
      </w:r>
      <w:r w:rsidR="00FE317F" w:rsidRPr="000F1EA3">
        <w:t xml:space="preserve">sing Glycerol-Choline Chloride Deep Eutectic Solvents: </w:t>
      </w:r>
      <w:r w:rsidRPr="000F1EA3">
        <w:t xml:space="preserve">A </w:t>
      </w:r>
      <w:proofErr w:type="spellStart"/>
      <w:r w:rsidR="00FE317F" w:rsidRPr="000F1EA3">
        <w:t>Biorefinery</w:t>
      </w:r>
      <w:proofErr w:type="spellEnd"/>
      <w:r w:rsidR="00FE317F" w:rsidRPr="000F1EA3">
        <w:t xml:space="preserve"> Approach</w:t>
      </w:r>
    </w:p>
    <w:p w:rsidR="009246AD" w:rsidRPr="000F1EA3" w:rsidRDefault="00FE317F" w:rsidP="00AB34C5">
      <w:pPr>
        <w:pStyle w:val="BBAuthorName"/>
        <w:jc w:val="left"/>
      </w:pPr>
      <w:r w:rsidRPr="000F1EA3">
        <w:t>Aleksandra Grudniewska,</w:t>
      </w:r>
      <w:r w:rsidRPr="000F1EA3">
        <w:rPr>
          <w:vertAlign w:val="superscript"/>
        </w:rPr>
        <w:t>*</w:t>
      </w:r>
      <w:r w:rsidR="00C60685" w:rsidRPr="000F1EA3">
        <w:rPr>
          <w:vertAlign w:val="superscript"/>
        </w:rPr>
        <w:t>†</w:t>
      </w:r>
      <w:r w:rsidRPr="000F1EA3">
        <w:t xml:space="preserve"> Eduardo M. de Melo</w:t>
      </w:r>
      <w:proofErr w:type="gramStart"/>
      <w:r w:rsidRPr="000F1EA3">
        <w:t>,</w:t>
      </w:r>
      <w:r w:rsidR="00C60685" w:rsidRPr="000F1EA3">
        <w:rPr>
          <w:vertAlign w:val="superscript"/>
        </w:rPr>
        <w:t>‡</w:t>
      </w:r>
      <w:proofErr w:type="gramEnd"/>
      <w:r w:rsidRPr="000F1EA3">
        <w:t xml:space="preserve"> Angel Chan,</w:t>
      </w:r>
      <w:r w:rsidR="00C60685" w:rsidRPr="000F1EA3">
        <w:rPr>
          <w:vertAlign w:val="superscript"/>
        </w:rPr>
        <w:t>‡</w:t>
      </w:r>
      <w:r w:rsidRPr="000F1EA3">
        <w:t xml:space="preserve"> </w:t>
      </w:r>
      <w:proofErr w:type="spellStart"/>
      <w:r w:rsidRPr="000F1EA3">
        <w:t>Radosław</w:t>
      </w:r>
      <w:proofErr w:type="spellEnd"/>
      <w:r w:rsidRPr="000F1EA3">
        <w:t xml:space="preserve"> </w:t>
      </w:r>
      <w:proofErr w:type="spellStart"/>
      <w:r w:rsidRPr="000F1EA3">
        <w:t>Gniłka</w:t>
      </w:r>
      <w:proofErr w:type="spellEnd"/>
      <w:r w:rsidRPr="000F1EA3">
        <w:t>,</w:t>
      </w:r>
      <w:r w:rsidR="00C60685" w:rsidRPr="000F1EA3">
        <w:rPr>
          <w:vertAlign w:val="superscript"/>
        </w:rPr>
        <w:t>†</w:t>
      </w:r>
      <w:r w:rsidRPr="000F1EA3">
        <w:t xml:space="preserve"> Filip </w:t>
      </w:r>
      <w:proofErr w:type="spellStart"/>
      <w:r w:rsidRPr="000F1EA3">
        <w:t>Boratyński</w:t>
      </w:r>
      <w:proofErr w:type="spellEnd"/>
      <w:r w:rsidRPr="000F1EA3">
        <w:t>,</w:t>
      </w:r>
      <w:r w:rsidR="00C60685" w:rsidRPr="000F1EA3">
        <w:rPr>
          <w:vertAlign w:val="superscript"/>
        </w:rPr>
        <w:t>†</w:t>
      </w:r>
      <w:r w:rsidRPr="000F1EA3">
        <w:t xml:space="preserve"> and Avtar S. Matharu</w:t>
      </w:r>
      <w:r w:rsidRPr="000F1EA3">
        <w:rPr>
          <w:vertAlign w:val="superscript"/>
        </w:rPr>
        <w:t>*</w:t>
      </w:r>
      <w:r w:rsidR="00C60685" w:rsidRPr="000F1EA3">
        <w:rPr>
          <w:vertAlign w:val="superscript"/>
        </w:rPr>
        <w:t>‡</w:t>
      </w:r>
    </w:p>
    <w:p w:rsidR="00191B36" w:rsidRPr="000F1EA3" w:rsidRDefault="00C60685" w:rsidP="00C60685">
      <w:pPr>
        <w:pStyle w:val="BCAuthorAddress"/>
        <w:jc w:val="left"/>
      </w:pPr>
      <w:r w:rsidRPr="000F1EA3">
        <w:t>†</w:t>
      </w:r>
      <w:r w:rsidR="00191B36" w:rsidRPr="000F1EA3">
        <w:t>D</w:t>
      </w:r>
      <w:r w:rsidR="00BA1647" w:rsidRPr="000F1EA3">
        <w:t xml:space="preserve">epartment of Chemistry, </w:t>
      </w:r>
      <w:proofErr w:type="spellStart"/>
      <w:r w:rsidR="00BA1647" w:rsidRPr="000F1EA3">
        <w:t>Wrocław</w:t>
      </w:r>
      <w:proofErr w:type="spellEnd"/>
      <w:r w:rsidR="00BA1647" w:rsidRPr="000F1EA3">
        <w:t xml:space="preserve"> University of Environmental and Life Sciences, </w:t>
      </w:r>
      <w:proofErr w:type="spellStart"/>
      <w:r w:rsidR="00191B36" w:rsidRPr="000F1EA3">
        <w:t>Norwida</w:t>
      </w:r>
      <w:proofErr w:type="spellEnd"/>
      <w:r w:rsidR="00191B36" w:rsidRPr="000F1EA3">
        <w:t xml:space="preserve"> 25, 50-375 </w:t>
      </w:r>
      <w:proofErr w:type="spellStart"/>
      <w:r w:rsidR="00191B36" w:rsidRPr="000F1EA3">
        <w:t>Wrocław</w:t>
      </w:r>
      <w:proofErr w:type="spellEnd"/>
      <w:r w:rsidR="00BA1647" w:rsidRPr="000F1EA3">
        <w:t>, Poland</w:t>
      </w:r>
    </w:p>
    <w:p w:rsidR="00BA1647" w:rsidRPr="000F1EA3" w:rsidRDefault="00C60685" w:rsidP="00191B36">
      <w:pPr>
        <w:pStyle w:val="BCAuthorAddress"/>
        <w:jc w:val="left"/>
      </w:pPr>
      <w:r w:rsidRPr="000F1EA3">
        <w:t>‡</w:t>
      </w:r>
      <w:r w:rsidR="00191B36" w:rsidRPr="000F1EA3">
        <w:t>Green Chemistry Centre of Excellence, Department of Chemistry, University of York, YO10 5DD York, England, United Kingdom</w:t>
      </w:r>
    </w:p>
    <w:p w:rsidR="00072184" w:rsidRPr="000F1EA3" w:rsidRDefault="00072184" w:rsidP="00072184">
      <w:pPr>
        <w:pStyle w:val="FAAuthorInfoSubtitle"/>
      </w:pPr>
      <w:r w:rsidRPr="000F1EA3">
        <w:t>Corresponding Author</w:t>
      </w:r>
    </w:p>
    <w:p w:rsidR="008B75AB" w:rsidRPr="000F1EA3" w:rsidRDefault="00072184" w:rsidP="008B75AB">
      <w:pPr>
        <w:pStyle w:val="FACorrespondingAuthorFootnote"/>
      </w:pPr>
      <w:r w:rsidRPr="000F1EA3">
        <w:t xml:space="preserve">*Aleksandra Grudniewska, </w:t>
      </w:r>
      <w:r w:rsidR="00C46DF5" w:rsidRPr="000F1EA3">
        <w:t>E-mail: aleksandra.grudniewska@upwr.edu.pl</w:t>
      </w:r>
    </w:p>
    <w:p w:rsidR="00072184" w:rsidRPr="000F1EA3" w:rsidRDefault="00072184" w:rsidP="00072184">
      <w:pPr>
        <w:pStyle w:val="FACorrespondingAuthorFootnote"/>
      </w:pPr>
      <w:r w:rsidRPr="000F1EA3">
        <w:t xml:space="preserve">* Avtar S. Matharu, </w:t>
      </w:r>
      <w:r w:rsidRPr="000F1EA3">
        <w:rPr>
          <w:lang w:val="pt-BR"/>
        </w:rPr>
        <w:t>E-mail: avtar.matharu@york.ac.uk</w:t>
      </w:r>
    </w:p>
    <w:p w:rsidR="00072184" w:rsidRPr="000F1EA3" w:rsidRDefault="00AB34C5" w:rsidP="00961A8E">
      <w:pPr>
        <w:pStyle w:val="BGKeywords"/>
        <w:sectPr w:rsidR="00072184" w:rsidRPr="000F1EA3" w:rsidSect="000B5610">
          <w:footerReference w:type="even" r:id="rId8"/>
          <w:footerReference w:type="default" r:id="rId9"/>
          <w:type w:val="continuous"/>
          <w:pgSz w:w="12240" w:h="15840"/>
          <w:pgMar w:top="1440" w:right="1440" w:bottom="1440" w:left="1440" w:header="0" w:footer="0" w:gutter="0"/>
          <w:cols w:space="475"/>
          <w:docGrid w:linePitch="326"/>
        </w:sectPr>
      </w:pPr>
      <w:r w:rsidRPr="000F1EA3">
        <w:rPr>
          <w:b/>
        </w:rPr>
        <w:t>K</w:t>
      </w:r>
      <w:r w:rsidR="00961A8E" w:rsidRPr="000F1EA3">
        <w:rPr>
          <w:b/>
        </w:rPr>
        <w:t>EYWORDS:</w:t>
      </w:r>
      <w:r w:rsidR="00961A8E" w:rsidRPr="000F1EA3">
        <w:t xml:space="preserve"> Protein extraction, Deep eutectic solvent (DES), Rapeseed cake, Evening primrose cake, Green Chemistry</w:t>
      </w:r>
    </w:p>
    <w:p w:rsidR="00AB34C5" w:rsidRPr="000F1EA3" w:rsidRDefault="00927A60" w:rsidP="00927A60">
      <w:pPr>
        <w:pStyle w:val="BDAbstract"/>
      </w:pPr>
      <w:r w:rsidRPr="000F1EA3">
        <w:rPr>
          <w:b/>
        </w:rPr>
        <w:lastRenderedPageBreak/>
        <w:t>ABSTRACT:</w:t>
      </w:r>
      <w:r w:rsidRPr="000F1EA3">
        <w:t xml:space="preserve"> The enhanced extraction of proteins from rapeseed cake (RC) and evening primrose cake (EC) using a glycerol-choline chloride deep eutectic solvent (</w:t>
      </w:r>
      <w:proofErr w:type="spellStart"/>
      <w:r w:rsidRPr="000F1EA3">
        <w:t>G</w:t>
      </w:r>
      <w:r w:rsidR="00160012" w:rsidRPr="000F1EA3">
        <w:t>ly</w:t>
      </w:r>
      <w:r w:rsidRPr="000F1EA3">
        <w:t>celine</w:t>
      </w:r>
      <w:proofErr w:type="spellEnd"/>
      <w:r w:rsidRPr="000F1EA3">
        <w:t xml:space="preserve">) is reported. Protein-rich precipitates </w:t>
      </w:r>
      <w:proofErr w:type="gramStart"/>
      <w:r w:rsidRPr="000F1EA3">
        <w:t>were obtained</w:t>
      </w:r>
      <w:proofErr w:type="gramEnd"/>
      <w:r w:rsidRPr="000F1EA3">
        <w:t xml:space="preserve"> by adding water (</w:t>
      </w:r>
      <w:proofErr w:type="spellStart"/>
      <w:r w:rsidRPr="000F1EA3">
        <w:t>antisolvent</w:t>
      </w:r>
      <w:proofErr w:type="spellEnd"/>
      <w:r w:rsidRPr="000F1EA3">
        <w:t>) to the DES extract</w:t>
      </w:r>
      <w:r w:rsidR="004B4A84" w:rsidRPr="000F1EA3">
        <w:t xml:space="preserve"> derived</w:t>
      </w:r>
      <w:r w:rsidR="00160012" w:rsidRPr="000F1EA3">
        <w:t xml:space="preserve"> at different processing temperatures</w:t>
      </w:r>
      <w:r w:rsidRPr="000F1EA3">
        <w:t xml:space="preserve">. </w:t>
      </w:r>
      <w:r w:rsidR="00490050" w:rsidRPr="000F1EA3">
        <w:t xml:space="preserve">The presence of proteins in precipitates has been confirmed by several techniques, such </w:t>
      </w:r>
      <w:proofErr w:type="gramStart"/>
      <w:r w:rsidR="00490050" w:rsidRPr="000F1EA3">
        <w:t>as:</w:t>
      </w:r>
      <w:proofErr w:type="gramEnd"/>
      <w:r w:rsidR="00490050" w:rsidRPr="000F1EA3">
        <w:t xml:space="preserve"> NMR, ATR-IR, TGA, CHN and SDS-PAGE. </w:t>
      </w:r>
      <w:r w:rsidR="00160012" w:rsidRPr="000F1EA3">
        <w:t xml:space="preserve">Yield of precipitates improved with increasing temperature of treatment, reaching a maximum of 20% and 35% at 140 °C from RC and EC, respectively.  In general, the protein content of the extracts was </w:t>
      </w:r>
      <w:r w:rsidR="00160012" w:rsidRPr="000F1EA3">
        <w:rPr>
          <w:i/>
        </w:rPr>
        <w:t>ca.</w:t>
      </w:r>
      <w:r w:rsidR="00160012" w:rsidRPr="000F1EA3">
        <w:t xml:space="preserve"> 40–50%, which is up to 20% more than the starting materials.  SDS-PAGE confirmed that </w:t>
      </w:r>
      <w:proofErr w:type="spellStart"/>
      <w:r w:rsidR="00160012" w:rsidRPr="000F1EA3">
        <w:t>glyceline</w:t>
      </w:r>
      <w:proofErr w:type="spellEnd"/>
      <w:r w:rsidR="00160012" w:rsidRPr="000F1EA3">
        <w:t xml:space="preserve"> selectively extracted </w:t>
      </w:r>
      <w:proofErr w:type="spellStart"/>
      <w:r w:rsidR="00160012" w:rsidRPr="000F1EA3">
        <w:t>cruciferin</w:t>
      </w:r>
      <w:proofErr w:type="spellEnd"/>
      <w:r w:rsidR="00160012" w:rsidRPr="000F1EA3">
        <w:t xml:space="preserve"> proteins (</w:t>
      </w:r>
      <w:r w:rsidR="00160012" w:rsidRPr="000F1EA3">
        <w:rPr>
          <w:i/>
        </w:rPr>
        <w:t>ca.</w:t>
      </w:r>
      <w:r w:rsidR="00160012" w:rsidRPr="000F1EA3">
        <w:t xml:space="preserve"> 16–33 </w:t>
      </w:r>
      <w:proofErr w:type="spellStart"/>
      <w:r w:rsidR="00160012" w:rsidRPr="000F1EA3">
        <w:t>kDa</w:t>
      </w:r>
      <w:proofErr w:type="spellEnd"/>
      <w:r w:rsidR="00160012" w:rsidRPr="000F1EA3">
        <w:t xml:space="preserve">) from RC, while proteins with variable molecular weight (10–40 </w:t>
      </w:r>
      <w:proofErr w:type="spellStart"/>
      <w:r w:rsidR="00160012" w:rsidRPr="000F1EA3">
        <w:t>kDa</w:t>
      </w:r>
      <w:proofErr w:type="spellEnd"/>
      <w:r w:rsidR="00160012" w:rsidRPr="000F1EA3">
        <w:t xml:space="preserve">) </w:t>
      </w:r>
      <w:proofErr w:type="gramStart"/>
      <w:r w:rsidR="00160012" w:rsidRPr="000F1EA3">
        <w:t>were identified</w:t>
      </w:r>
      <w:proofErr w:type="gramEnd"/>
      <w:r w:rsidR="00160012" w:rsidRPr="000F1EA3">
        <w:t xml:space="preserve"> in EC extracts. </w:t>
      </w:r>
      <w:r w:rsidRPr="000F1EA3">
        <w:t xml:space="preserve"> </w:t>
      </w:r>
      <w:r w:rsidR="004B4A84" w:rsidRPr="000F1EA3">
        <w:t xml:space="preserve">As potential application </w:t>
      </w:r>
      <w:proofErr w:type="spellStart"/>
      <w:r w:rsidRPr="000F1EA3">
        <w:t>cruciferin</w:t>
      </w:r>
      <w:proofErr w:type="spellEnd"/>
      <w:r w:rsidRPr="000F1EA3">
        <w:t>-rich RCP60 and RCP100 c</w:t>
      </w:r>
      <w:r w:rsidR="004B4A84" w:rsidRPr="000F1EA3">
        <w:t xml:space="preserve">ould </w:t>
      </w:r>
      <w:r w:rsidRPr="000F1EA3">
        <w:t xml:space="preserve">be  incorporated into final food formulations </w:t>
      </w:r>
      <w:r w:rsidR="004B4A84" w:rsidRPr="000F1EA3">
        <w:t xml:space="preserve">as a source of protein </w:t>
      </w:r>
      <w:r w:rsidRPr="000F1EA3">
        <w:t xml:space="preserve">due to its light </w:t>
      </w:r>
      <w:proofErr w:type="spellStart"/>
      <w:r w:rsidRPr="000F1EA3">
        <w:t>colour</w:t>
      </w:r>
      <w:proofErr w:type="spellEnd"/>
      <w:r w:rsidR="00841A35">
        <w:t>.</w:t>
      </w:r>
      <w:bookmarkStart w:id="0" w:name="_GoBack"/>
      <w:bookmarkEnd w:id="0"/>
    </w:p>
    <w:p w:rsidR="00CB05AA" w:rsidRPr="000F1EA3" w:rsidRDefault="00C32D14" w:rsidP="00285138">
      <w:pPr>
        <w:pStyle w:val="TAMainText"/>
        <w:spacing w:after="120"/>
        <w:ind w:firstLine="0"/>
        <w:jc w:val="left"/>
        <w:rPr>
          <w:b/>
        </w:rPr>
      </w:pPr>
      <w:r w:rsidRPr="000F1EA3">
        <w:rPr>
          <w:b/>
        </w:rPr>
        <w:t>INTRODUCTION</w:t>
      </w:r>
    </w:p>
    <w:p w:rsidR="00CB05AA" w:rsidRPr="000F1EA3" w:rsidRDefault="00CB05AA" w:rsidP="00CB05AA">
      <w:pPr>
        <w:pStyle w:val="TAMainText"/>
      </w:pPr>
      <w:r w:rsidRPr="000F1EA3">
        <w:t>Vegetable oil has one of the highest trade shares (42%) of production of all agricultural commodities. During 2014-16, average annual global production of vegetable oil was 179 Mt and is expected to increase to 220 Mt in 2026.</w:t>
      </w:r>
      <w:r w:rsidRPr="000F1EA3">
        <w:fldChar w:fldCharType="begin" w:fldLock="1"/>
      </w:r>
      <w:r w:rsidR="00021D26" w:rsidRPr="000F1EA3">
        <w:instrText>ADDIN CSL_CITATION { "citationItems" : [ { "id" : "ITEM-1", "itemData" : { "DOI" : "http://dx.doi.org/10.1787/agr_outlook-2017-en", "ISBN" : "9789264275478", "URL" : "http://dx.doi.org/10.1787/agr_outlook-2017-en", "accessed" : { "date-parts" : [ [ "2018", "7", "9" ] ] }, "author" : [ { "dropping-particle" : "", "family" : "OECD/FAO", "given" : "", "non-dropping-particle" : "", "parse-names" : false, "suffix" : "" } ], "id" : "ITEM-1", "issued" : { "date-parts" : [ [ "2017" ] ] }, "publisher-place" : "Paris", "title" : "OECD\u2011FAO Agricultural Outlook 2017\u20112026. OECD Publishing, Paris,", "type" : "webpage" }, "uris" : [ "http://www.mendeley.com/documents/?uuid=ded69ef7-58e8-4e3e-976a-44c7c9470103" ] } ], "mendeley" : { "formattedCitation" : "&lt;sup&gt;1&lt;/sup&gt;", "plainTextFormattedCitation" : "1", "previouslyFormattedCitation" : "&lt;sup&gt;1&lt;/sup&gt;" }, "properties" : { "noteIndex" : 0 }, "schema" : "https://github.com/citation-style-language/schema/raw/master/csl-citation.json" }</w:instrText>
      </w:r>
      <w:r w:rsidRPr="000F1EA3">
        <w:fldChar w:fldCharType="separate"/>
      </w:r>
      <w:r w:rsidR="00021D26" w:rsidRPr="000F1EA3">
        <w:rPr>
          <w:noProof/>
          <w:vertAlign w:val="superscript"/>
        </w:rPr>
        <w:t>1</w:t>
      </w:r>
      <w:r w:rsidRPr="000F1EA3">
        <w:fldChar w:fldCharType="end"/>
      </w:r>
      <w:r w:rsidRPr="000F1EA3">
        <w:t xml:space="preserve"> The three most important vegetable oils are palm oil (33%), soybean oil (26%) and rapeseed oil (15%), representing 74% of world output. In the European Union (EU), rapeseed oil is the main vegetable oil used to make biodiesel (48% in 2016) and the EU is the most important biodiesel producer accounting for almost 37% (12.61 Mt in 2016) of global output.</w:t>
      </w:r>
      <w:r w:rsidRPr="000F1EA3">
        <w:fldChar w:fldCharType="begin" w:fldLock="1"/>
      </w:r>
      <w:r w:rsidR="00021D26" w:rsidRPr="000F1EA3">
        <w:instrText>ADDIN CSL_CITATION { "citationItems" : [ { "id" : "ITEM-1", "itemData" : { "URL" : "https://www.ufop.de/files/3515/1515/2657/UFOP_Report_on_Global_Market_Supply_2017-2018.pdf", "accessed" : { "date-parts" : [ [ "2018", "7", "9" ] ] }, "id" : "ITEM-1", "issued" : { "date-parts" : [ [ "2018" ] ] }, "title" : "UFOP Report on Global Market Supply 2017/2018", "type" : "webpage" }, "uris" : [ "http://www.mendeley.com/documents/?uuid=cc0257d5-ec3a-4796-a094-a8e05b93f07c" ] } ], "mendeley" : { "formattedCitation" : "&lt;sup&gt;2&lt;/sup&gt;", "plainTextFormattedCitation" : "2", "previouslyFormattedCitation" : "&lt;sup&gt;2&lt;/sup&gt;" }, "properties" : { "noteIndex" : 0 }, "schema" : "https://github.com/citation-style-language/schema/raw/master/csl-citation.json" }</w:instrText>
      </w:r>
      <w:r w:rsidRPr="000F1EA3">
        <w:fldChar w:fldCharType="separate"/>
      </w:r>
      <w:r w:rsidR="00021D26" w:rsidRPr="000F1EA3">
        <w:rPr>
          <w:noProof/>
          <w:vertAlign w:val="superscript"/>
        </w:rPr>
        <w:t>2</w:t>
      </w:r>
      <w:r w:rsidRPr="000F1EA3">
        <w:fldChar w:fldCharType="end"/>
      </w:r>
    </w:p>
    <w:p w:rsidR="00CB05AA" w:rsidRPr="000F1EA3" w:rsidRDefault="00CB05AA" w:rsidP="00CB05AA">
      <w:pPr>
        <w:pStyle w:val="TAMainText"/>
      </w:pPr>
      <w:r w:rsidRPr="000F1EA3">
        <w:t>During the pressing of oilseed, in addition to the main product – oil, about 65% of by-product is formed as a cake.</w:t>
      </w:r>
      <w:r w:rsidRPr="000F1EA3">
        <w:fldChar w:fldCharType="begin" w:fldLock="1"/>
      </w:r>
      <w:r w:rsidR="00021D26" w:rsidRPr="000F1EA3">
        <w:instrText>ADDIN CSL_CITATION { "citationItems" : [ { "id" : "ITEM-1", "itemData" : { "DOI" : "10.1016/j.biombioe.2014.03.028", "ISBN" : "0961-9534", "ISSN" : "09619534", "abstract" : "We have investigated the hydrothermolysis of rapeseed cake, which is a residual biomass with high protein and fat content. The effects of the process parameters, reaction temperature and holding time, on the composition of the products (amino acids and fatty acids) contained in the separated liquid fractions (water and ether, respectively) were studied. To model the hydrothermal process the experimental design methodology was used. Based on this, optimized operational parameters were determined yielding highest amounts of amino acids and high conversion of triacylglycerols to fatty acids. A maximum estimated yield of amino acids of 135.9g kg-1 of rapeseed cake was obtained at 215\u00b0C after 36min. A further increase of both reaction temperature and holding time would lead to the Maillard reaction and the decomposition (deamination and decarboxylation) of the amino acids. Maximum conversion of triacylglycerols to fatty acids of 0.91 was predited at 246\u00b0C during 65min. In this case, a further increase of both reaction parameters would lead to enhanced cis-trans isomerization of the unsaturated fatty acids produced. \u00a9 2014 Elsevier Ltd.", "author" : [ { "dropping-particle" : "", "family" : "Pi\u0144kowska", "given" : "Hanna", "non-dropping-particle" : "", "parse-names" : false, "suffix" : "" }, { "dropping-particle" : "", "family" : "Wolak", "given" : "Pawe\u0142", "non-dropping-particle" : "", "parse-names" : false, "suffix" : "" }, { "dropping-particle" : "", "family" : "Oliveros", "given" : "Esther", "non-dropping-particle" : "", "parse-names" : false, "suffix" : "" } ], "container-title" : "Biomass Bioenergy", "id" : "ITEM-1", "issued" : { "date-parts" : [ [ "2014" ] ] }, "page" : "50-61", "title" : "Hydrothermolysis of rapeseed cake in subcritical water. Effect of reaction temperature and holding time on product composition", "type" : "article-journal", "volume" : "64" }, "uris" : [ "http://www.mendeley.com/documents/?uuid=f83d5305-826b-4728-a264-ffd21351b032" ] } ], "mendeley" : { "formattedCitation" : "&lt;sup&gt;3&lt;/sup&gt;", "plainTextFormattedCitation" : "3", "previouslyFormattedCitation" : "&lt;sup&gt;3&lt;/sup&gt;" }, "properties" : { "noteIndex" : 0 }, "schema" : "https://github.com/citation-style-language/schema/raw/master/csl-citation.json" }</w:instrText>
      </w:r>
      <w:r w:rsidRPr="000F1EA3">
        <w:fldChar w:fldCharType="separate"/>
      </w:r>
      <w:r w:rsidR="00021D26" w:rsidRPr="000F1EA3">
        <w:rPr>
          <w:noProof/>
          <w:vertAlign w:val="superscript"/>
        </w:rPr>
        <w:t>3</w:t>
      </w:r>
      <w:r w:rsidRPr="000F1EA3">
        <w:fldChar w:fldCharType="end"/>
      </w:r>
      <w:r w:rsidRPr="000F1EA3">
        <w:t xml:space="preserve"> The remaining oil in the cake </w:t>
      </w:r>
      <w:proofErr w:type="gramStart"/>
      <w:r w:rsidRPr="000F1EA3">
        <w:t>is usually extracted</w:t>
      </w:r>
      <w:proofErr w:type="gramEnd"/>
      <w:r w:rsidRPr="000F1EA3">
        <w:t xml:space="preserve"> with </w:t>
      </w:r>
      <w:r w:rsidRPr="000F1EA3">
        <w:rPr>
          <w:i/>
        </w:rPr>
        <w:t>n</w:t>
      </w:r>
      <w:r w:rsidRPr="000F1EA3">
        <w:t xml:space="preserve">-hexane, generating </w:t>
      </w:r>
      <w:r w:rsidRPr="000F1EA3">
        <w:lastRenderedPageBreak/>
        <w:t xml:space="preserve">extraction meal as a by-product. Currently, according to the </w:t>
      </w:r>
      <w:proofErr w:type="spellStart"/>
      <w:r w:rsidRPr="000F1EA3">
        <w:t>biorefinery</w:t>
      </w:r>
      <w:proofErr w:type="spellEnd"/>
      <w:r w:rsidRPr="000F1EA3">
        <w:t xml:space="preserve"> concept, oilseeds are used for the production of biodiesel (bioenergy), and as bio-based products the cake and glycerin are obtained.</w:t>
      </w:r>
      <w:r w:rsidRPr="000F1EA3">
        <w:fldChar w:fldCharType="begin" w:fldLock="1"/>
      </w:r>
      <w:r w:rsidR="00021D26" w:rsidRPr="000F1EA3">
        <w:instrText>ADDIN CSL_CITATION { "citationItems" : [ { "id" : "ITEM-1", "itemData" : { "URL" : "http://www.ieabioenergy.com/wp-content/uploads/2014/09/IEA-Bioenergy-Task42-Biorefining-Brochure-SEP2014_LR.pdf", "accessed" : { "date-parts" : [ [ "2018", "7", "9" ] ] }, "id" : "ITEM-1", "issued" : { "date-parts" : [ [ "2014" ] ] }, "title" : "IEA Bioenergy \u2013 Task 42 Biorefining", "type" : "webpage" }, "uris" : [ "http://www.mendeley.com/documents/?uuid=713fe8b5-7839-486e-97bb-98b5cd372937" ] } ], "mendeley" : { "formattedCitation" : "&lt;sup&gt;4&lt;/sup&gt;", "plainTextFormattedCitation" : "4", "previouslyFormattedCitation" : "&lt;sup&gt;4&lt;/sup&gt;" }, "properties" : { "noteIndex" : 0 }, "schema" : "https://github.com/citation-style-language/schema/raw/master/csl-citation.json" }</w:instrText>
      </w:r>
      <w:r w:rsidRPr="000F1EA3">
        <w:fldChar w:fldCharType="separate"/>
      </w:r>
      <w:r w:rsidR="00021D26" w:rsidRPr="000F1EA3">
        <w:rPr>
          <w:noProof/>
          <w:vertAlign w:val="superscript"/>
        </w:rPr>
        <w:t>4</w:t>
      </w:r>
      <w:r w:rsidRPr="000F1EA3">
        <w:fldChar w:fldCharType="end"/>
      </w:r>
      <w:r w:rsidRPr="000F1EA3">
        <w:t xml:space="preserve"> Often, oilseed cake or meal </w:t>
      </w:r>
      <w:proofErr w:type="gramStart"/>
      <w:r w:rsidRPr="000F1EA3">
        <w:t>is used</w:t>
      </w:r>
      <w:proofErr w:type="gramEnd"/>
      <w:r w:rsidRPr="000F1EA3">
        <w:t xml:space="preserve"> in animal feed because it has a high protein content.</w:t>
      </w:r>
    </w:p>
    <w:p w:rsidR="00B966E8" w:rsidRPr="000F1EA3" w:rsidRDefault="00CB05AA" w:rsidP="00B966E8">
      <w:pPr>
        <w:pStyle w:val="TAMainText"/>
      </w:pPr>
      <w:r w:rsidRPr="000F1EA3">
        <w:t>The substitution of animal proteins through vegetable proteins in human diet becomes increasingly important due to the growing world population, ecological and economic aspects.</w:t>
      </w:r>
      <w:r w:rsidRPr="000F1EA3">
        <w:fldChar w:fldCharType="begin" w:fldLock="1"/>
      </w:r>
      <w:r w:rsidR="00021D26" w:rsidRPr="000F1EA3">
        <w:instrText>ADDIN CSL_CITATION { "citationItems" : [ { "id" : "ITEM-1", "itemData" : { "DOI" : "10.1007/s10113-016-1013-4", "ISSN" : "1436378X", "abstract" : "Multiple production and demand side measures are needed to improve food system sustainability. This study quantified the theoretical minimum agricultural land requirements to supply Western Europe with food in 2050 from its own land base, together with GHG emissions arising. Assuming that crop yield gaps in agriculture are closed, livestock production efficiencies increased and waste at all stages reduced, a range of food consumption scenarios were modelled each based on different \u2018protein futures\u2019. The scenarios were as follows: intensive and efficient livestock production using today\u2019s species mix; intensive efficient poultry\u2013dairy production; intensive efficient aquaculture\u2013dairy; artificial meat and dairy; livestock on \u2018ecological leftovers\u2019 (livestock reared only on land unsuited to cropping, agricultural residues and food waste, with consumption capped at that level of availability); and a \u2018plant-based eating\u2019 scenario. For each scenario, \u2018projected diet\u2019 and \u2018healthy diet\u2019 variants were modelled. Finally, we quantified the theoretical maximum carbon sequestration potential from afforestation of spared agricultural land. Results indicate that land use could be cut by 14\u201386 % and GHG emissions reduced by up to approximately 90 %. The yearly carbon storage potential arising from spared agricultural land ranged from 90 to 700 Mt CO2 in 2050. The artificial meat and plant-based scenarios achieved the greatest land use and GHG reductions and the greatest carbon sequestration potential. The \u2018ecological leftover\u2019 scenario required the least cropland as compared with the other meat-containing scenarios, but all available pasture was used, and GHG emissions were higher if meat consumption was not capped at healthy levels.", "author" : [ { "dropping-particle" : "", "family" : "R\u00f6\u00f6s", "given" : "Elin", "non-dropping-particle" : "", "parse-names" : false, "suffix" : "" }, { "dropping-particle" : "", "family" : "Baj\u017eelj", "given" : "Bojana", "non-dropping-particle" : "", "parse-names" : false, "suffix" : "" }, { "dropping-particle" : "", "family" : "Smith", "given" : "Pete", "non-dropping-particle" : "", "parse-names" : false, "suffix" : "" }, { "dropping-particle" : "", "family" : "Patel", "given" : "Mikaela", "non-dropping-particle" : "", "parse-names" : false, "suffix" : "" }, { "dropping-particle" : "", "family" : "Little", "given" : "David", "non-dropping-particle" : "", "parse-names" : false, "suffix" : "" }, { "dropping-particle" : "", "family" : "Garnett", "given" : "Tara", "non-dropping-particle" : "", "parse-names" : false, "suffix" : "" } ], "container-title" : "Regional Environmental Change", "id" : "ITEM-1", "issue" : "2", "issued" : { "date-parts" : [ [ "2017" ] ] }, "page" : "367-377", "title" : "Protein futures for Western Europe: potential land use and climate impacts in 2050", "type" : "article-journal", "volume" : "17" }, "uris" : [ "http://www.mendeley.com/documents/?uuid=906454b1-bef8-4e97-96d2-a2a51bb6132a" ] } ], "mendeley" : { "formattedCitation" : "&lt;sup&gt;5&lt;/sup&gt;", "plainTextFormattedCitation" : "5", "previouslyFormattedCitation" : "&lt;sup&gt;5&lt;/sup&gt;" }, "properties" : { "noteIndex" : 0 }, "schema" : "https://github.com/citation-style-language/schema/raw/master/csl-citation.json" }</w:instrText>
      </w:r>
      <w:r w:rsidRPr="000F1EA3">
        <w:fldChar w:fldCharType="separate"/>
      </w:r>
      <w:r w:rsidR="00021D26" w:rsidRPr="000F1EA3">
        <w:rPr>
          <w:noProof/>
          <w:vertAlign w:val="superscript"/>
        </w:rPr>
        <w:t>5</w:t>
      </w:r>
      <w:r w:rsidRPr="000F1EA3">
        <w:fldChar w:fldCharType="end"/>
      </w:r>
      <w:r w:rsidRPr="000F1EA3">
        <w:t xml:space="preserve"> Rapeseed meal is the second largest protein feed produced in the world after soybean. In 2016/17, world production of rapeseed meal was 35 Mt, having a global protein content around 12 Mt.</w:t>
      </w:r>
      <w:r w:rsidRPr="000F1EA3">
        <w:fldChar w:fldCharType="begin" w:fldLock="1"/>
      </w:r>
      <w:r w:rsidR="00021D26" w:rsidRPr="000F1EA3">
        <w:instrText>ADDIN CSL_CITATION { "citationItems" : [ { "id" : "ITEM-1", "itemData" : { "URL" : "https://www.ufop.de/files/3515/1515/2657/UFOP_Report_on_Global_Market_Supply_2017-2018.pdf", "accessed" : { "date-parts" : [ [ "2018", "7", "9" ] ] }, "id" : "ITEM-1", "issued" : { "date-parts" : [ [ "2018" ] ] }, "title" : "UFOP Report on Global Market Supply 2017/2018", "type" : "webpage" }, "uris" : [ "http://www.mendeley.com/documents/?uuid=cc0257d5-ec3a-4796-a094-a8e05b93f07c" ] } ], "mendeley" : { "formattedCitation" : "&lt;sup&gt;2&lt;/sup&gt;", "plainTextFormattedCitation" : "2", "previouslyFormattedCitation" : "&lt;sup&gt;2&lt;/sup&gt;" }, "properties" : { "noteIndex" : 0 }, "schema" : "https://github.com/citation-style-language/schema/raw/master/csl-citation.json" }</w:instrText>
      </w:r>
      <w:r w:rsidRPr="000F1EA3">
        <w:fldChar w:fldCharType="separate"/>
      </w:r>
      <w:r w:rsidR="00021D26" w:rsidRPr="000F1EA3">
        <w:rPr>
          <w:noProof/>
          <w:vertAlign w:val="superscript"/>
        </w:rPr>
        <w:t>2</w:t>
      </w:r>
      <w:r w:rsidRPr="000F1EA3">
        <w:fldChar w:fldCharType="end"/>
      </w:r>
      <w:r w:rsidRPr="000F1EA3">
        <w:t xml:space="preserve"> Rapeseed protein represents an interesting opportunity as a high quality, sustainable human protein source. The predominant storage proteins found in</w:t>
      </w:r>
      <w:r w:rsidR="00B966E8" w:rsidRPr="000F1EA3">
        <w:t xml:space="preserve"> rapeseed are </w:t>
      </w:r>
      <w:proofErr w:type="spellStart"/>
      <w:r w:rsidR="00B966E8" w:rsidRPr="000F1EA3">
        <w:t>cruciferin</w:t>
      </w:r>
      <w:proofErr w:type="spellEnd"/>
      <w:r w:rsidR="00B966E8" w:rsidRPr="000F1EA3">
        <w:t xml:space="preserve"> (globulin, 11S, 300</w:t>
      </w:r>
      <w:r w:rsidR="00E12340" w:rsidRPr="000F1EA3">
        <w:t>-</w:t>
      </w:r>
      <w:r w:rsidR="00B966E8" w:rsidRPr="000F1EA3">
        <w:t xml:space="preserve">350 </w:t>
      </w:r>
      <w:proofErr w:type="spellStart"/>
      <w:r w:rsidR="00E12340" w:rsidRPr="000F1EA3">
        <w:t>kDa</w:t>
      </w:r>
      <w:proofErr w:type="spellEnd"/>
      <w:r w:rsidR="00E12340" w:rsidRPr="000F1EA3">
        <w:t xml:space="preserve">) and </w:t>
      </w:r>
      <w:proofErr w:type="spellStart"/>
      <w:r w:rsidR="00E12340" w:rsidRPr="000F1EA3">
        <w:t>napin</w:t>
      </w:r>
      <w:proofErr w:type="spellEnd"/>
      <w:r w:rsidR="00E12340" w:rsidRPr="000F1EA3">
        <w:t xml:space="preserve"> (albumin, 2S, 12-</w:t>
      </w:r>
      <w:r w:rsidR="00B966E8" w:rsidRPr="000F1EA3">
        <w:t xml:space="preserve">16 </w:t>
      </w:r>
      <w:proofErr w:type="spellStart"/>
      <w:r w:rsidR="00B966E8" w:rsidRPr="000F1EA3">
        <w:t>kDa</w:t>
      </w:r>
      <w:proofErr w:type="spellEnd"/>
      <w:r w:rsidR="00B966E8" w:rsidRPr="000F1EA3">
        <w:t xml:space="preserve">), constituting 80% of the total protein content of mature seeds (60% </w:t>
      </w:r>
      <w:proofErr w:type="spellStart"/>
      <w:r w:rsidR="00B966E8" w:rsidRPr="000F1EA3">
        <w:t>cruciferin</w:t>
      </w:r>
      <w:proofErr w:type="spellEnd"/>
      <w:r w:rsidR="00B966E8" w:rsidRPr="000F1EA3">
        <w:t xml:space="preserve"> and 20% </w:t>
      </w:r>
      <w:proofErr w:type="spellStart"/>
      <w:r w:rsidR="00B966E8" w:rsidRPr="000F1EA3">
        <w:t>napin</w:t>
      </w:r>
      <w:proofErr w:type="spellEnd"/>
      <w:r w:rsidR="00B966E8" w:rsidRPr="000F1EA3">
        <w:t xml:space="preserve">, respectively). Rapeseed also contains the structural proteins such as oil body proteins (mainly </w:t>
      </w:r>
      <w:proofErr w:type="spellStart"/>
      <w:r w:rsidR="00B966E8" w:rsidRPr="000F1EA3">
        <w:t>oleosins</w:t>
      </w:r>
      <w:proofErr w:type="spellEnd"/>
      <w:r w:rsidR="00B966E8" w:rsidRPr="000F1EA3">
        <w:t>, 2-8%</w:t>
      </w:r>
      <w:r w:rsidR="00D76D68" w:rsidRPr="000F1EA3">
        <w:t xml:space="preserve"> of the total seed proteins, 18-</w:t>
      </w:r>
      <w:r w:rsidR="00B966E8" w:rsidRPr="000F1EA3">
        <w:t xml:space="preserve">25 </w:t>
      </w:r>
      <w:proofErr w:type="spellStart"/>
      <w:r w:rsidR="00B966E8" w:rsidRPr="000F1EA3">
        <w:t>kDa</w:t>
      </w:r>
      <w:proofErr w:type="spellEnd"/>
      <w:r w:rsidR="00B966E8" w:rsidRPr="000F1EA3">
        <w:t>) and lipid transfer proteins.</w:t>
      </w:r>
      <w:r w:rsidR="00B966E8" w:rsidRPr="000F1EA3">
        <w:fldChar w:fldCharType="begin" w:fldLock="1"/>
      </w:r>
      <w:r w:rsidR="00021D26" w:rsidRPr="000F1EA3">
        <w:instrText>ADDIN CSL_CITATION { "citationItems" : [ { "id" : "ITEM-1", "itemData" : { "DOI" : "10.1051/ocl/2016028", "ISBN" : "1258-8210", "ISSN" : "2272-6977", "abstract" : "\u2013 Protein rich meal is a valuable co-product of canola/rapeseed oil extraction. Seed storage proteins that include cruciferin (11S) and napin (2S) dominate the protein complement of canola while oleosins, lipid transfer pro-teins and other minor proteins of non-storage nature are also found. Although oil-free canola meal contains 36\u201340% protein on a dry weight basis, non-protein components including fibre, polymeric phenolics, phytates and sinapine, etc. of the seed coat and cellular components make protein less suitable for food use. Separation of canola protein from non-protein components is a technical challenge but necessary to obtain full nutritional and functional potential of protein. Process conditions of raw material and protein preparation are critical of nutritional and functional value of the final protein product. The storage proteins of canola can satisfy many nutritional and functional requirements for food applications. Protein macromolecules of canola also provide functionalities required in applications beyond edible uses; there exists substantial potential as a source of plant protein and a renewable biopolymer. Available information at present is mostly based on the protein products that can be obtained as mixtures of storage protein types and other chemical constituents of the seed; therefore, full potential of canola storage proteins is yet to be revealed. R\u00e9sum\u00e9 \u2013 Prot\u00e9ines de canola et de colza : fonctionnalit\u00e9s et nutrition. Les tourteaux riches en prot\u00e9ines repr\u00e9-sentent un coproduit de valeur de l'extraction de l'huile de canola/colza. Dans la graine, les prot\u00e9ines de stockage, notamment la crucif\u00e9rine (11S) et la napine (2S), dominent la fraction prot\u00e9ique du canola, mais des ol\u00e9osines, des prot\u00e9ines de transfert de lipides et d'autres prot\u00e9ines mineures non d\u00e9di\u00e9es au stockage sont \u00e9galement pr\u00e9sentes. Bien que le tourteau de canola d\u00e9shuil\u00e9 contienne 36\u201340 % de prot\u00e9ines sur poids sec, la pr\u00e9sence de composants non pro-t\u00e9iques, dont les fibres, les polym\u00e8res ph\u00e9noliques, les phytates, la sinapine, etc. issus de l'enveloppe de la graine et des composants cellulaires rendent les prot\u00e9ines moins appropri\u00e9es \u00e0 une utilisation en alimentation humaine. Cette revue pr\u00e9sente les connaissances actuelles en termes de valeur nutritionnelle et fonctionnelle des prot\u00e9ines issues des graines de canola. La s\u00e9paration des prot\u00e9ines de canola des composants non prot\u00e9iques repr\u00e9sente un d\u00e9fi technique mais n\u00e9cessaire pour lib\u00e9rer totalement \u2026", "author" : [ { "dropping-particle" : "", "family" : "Wanasundara", "given" : "Janitha P.D.", "non-dropping-particle" : "", "parse-names" : false, "suffix" : "" }, { "dropping-particle" : "", "family" : "McIntosh", "given" : "Tara C.", "non-dropping-particle" : "", "parse-names" : false, "suffix" : "" }, { "dropping-particle" : "", "family" : "Perera", "given" : "Suneru P", "non-dropping-particle" : "", "parse-names" : false, "suffix" : "" }, { "dropping-particle" : "", "family" : "Withana-Gamage", "given" : "Thushan S", "non-dropping-particle" : "", "parse-names" : false, "suffix" : "" }, { "dropping-particle" : "", "family" : "Mitra", "given" : "Pranabendu", "non-dropping-particle" : "", "parse-names" : false, "suffix" : "" } ], "container-title" : "OCL", "id" : "ITEM-1", "issue" : "4", "issued" : { "date-parts" : [ [ "2016" ] ] }, "page" : "D407", "title" : "Canola/rapeseed protein-functionality and nutrition", "type" : "article-journal", "volume" : "23" }, "uris" : [ "http://www.mendeley.com/documents/?uuid=763d4d89-027a-470f-b70d-03c6561257cf" ] } ], "mendeley" : { "formattedCitation" : "&lt;sup&gt;6&lt;/sup&gt;", "plainTextFormattedCitation" : "6", "previouslyFormattedCitation" : "&lt;sup&gt;6&lt;/sup&gt;" }, "properties" : { "noteIndex" : 0 }, "schema" : "https://github.com/citation-style-language/schema/raw/master/csl-citation.json" }</w:instrText>
      </w:r>
      <w:r w:rsidR="00B966E8" w:rsidRPr="000F1EA3">
        <w:fldChar w:fldCharType="separate"/>
      </w:r>
      <w:r w:rsidR="00021D26" w:rsidRPr="000F1EA3">
        <w:rPr>
          <w:noProof/>
          <w:vertAlign w:val="superscript"/>
        </w:rPr>
        <w:t>6</w:t>
      </w:r>
      <w:r w:rsidR="00B966E8" w:rsidRPr="000F1EA3">
        <w:fldChar w:fldCharType="end"/>
      </w:r>
      <w:r w:rsidR="00B966E8" w:rsidRPr="000F1EA3">
        <w:rPr>
          <w:rFonts w:ascii="Calibri" w:hAnsi="Calibri"/>
          <w:noProof/>
          <w:szCs w:val="24"/>
          <w:vertAlign w:val="superscript"/>
        </w:rPr>
        <w:t>–</w:t>
      </w:r>
      <w:r w:rsidR="00B966E8" w:rsidRPr="000F1EA3">
        <w:fldChar w:fldCharType="begin" w:fldLock="1"/>
      </w:r>
      <w:r w:rsidR="00021D26" w:rsidRPr="000F1EA3">
        <w:instrText>ADDIN CSL_CITATION { "citationItems" : [ { "id" : "ITEM-1", "itemData" : { "DOI" : "10.1002/pmic.200800449", "ISBN" : "1615-9861", "ISSN" : "16159853", "PMID" : "19562800", "abstract" : "Seed oil bodies (OBs) are intracellular particles storing lipids as food or biofuel reserves in oleaginous plants. Since Brassica napus OBs could be easily contaminated with protein bodies and/or myrosin cells, they must be purified step by step using floatation technique in order to remove non-specifically trapped proteins. An exhaustive description of the protein composition of rapeseed OBs from two double-zero varieties was achieved by a combination of proteomic and genomic tools. Genomic analysis led to the identification of sequences coding for major seed oil body proteins, including 19 oleosins, 5 steroleosins and 9 caleosins. Most of these proteins were also identified through proteomic analysis and displayed a high level of sequence conservation with their Arabidopsis thaliana counterparts. Two rapeseed oleosin orthologs appeared acetylated on their N-terminal alanine residue and both caleosins and steroleosins displayed a low level of phosphorylation.", "author" : [ { "dropping-particle" : "", "family" : "Jolivet", "given" : "Pascale", "non-dropping-particle" : "", "parse-names" : false, "suffix" : "" }, { "dropping-particle" : "", "family" : "Boulard", "given" : "C\u00e9line", "non-dropping-particle" : "", "parse-names" : false, "suffix" : "" }, { "dropping-particle" : "", "family" : "Bellamy", "given" : "Annick", "non-dropping-particle" : "", "parse-names" : false, "suffix" : "" }, { "dropping-particle" : "", "family" : "Larr\u00e9", "given" : "Colette", "non-dropping-particle" : "", "parse-names" : false, "suffix" : "" }, { "dropping-particle" : "", "family" : "Barre", "given" : "Marion", "non-dropping-particle" : "", "parse-names" : false, "suffix" : "" }, { "dropping-particle" : "", "family" : "Rogniaux", "given" : "H\u00e9l\u00e8ne", "non-dropping-particle" : "", "parse-names" : false, "suffix" : "" }, { "dropping-particle" : "", "family" : "D'Andr\u00e9a", "given" : "Sabine", "non-dropping-particle" : "", "parse-names" : false, "suffix" : "" }, { "dropping-particle" : "", "family" : "Chardot", "given" : "Thierry", "non-dropping-particle" : "", "parse-names" : false, "suffix" : "" }, { "dropping-particle" : "", "family" : "Nesi", "given" : "Nathalie", "non-dropping-particle" : "", "parse-names" : false, "suffix" : "" } ], "container-title" : "Proteomics", "id" : "ITEM-1", "issue" : "12", "issued" : { "date-parts" : [ [ "2009" ] ] }, "page" : "3268-3284", "title" : "Protein composition of oil bodies from mature Brassica napus seeds", "type" : "article-journal", "volume" : "9" }, "uris" : [ "http://www.mendeley.com/documents/?uuid=bb3f3e6a-4ce6-4845-be95-ee1d45f98abc" ] } ], "mendeley" : { "formattedCitation" : "&lt;sup&gt;8&lt;/sup&gt;", "plainTextFormattedCitation" : "8", "previouslyFormattedCitation" : "&lt;sup&gt;8&lt;/sup&gt;" }, "properties" : { "noteIndex" : 0 }, "schema" : "https://github.com/citation-style-language/schema/raw/master/csl-citation.json" }</w:instrText>
      </w:r>
      <w:r w:rsidR="00B966E8" w:rsidRPr="000F1EA3">
        <w:fldChar w:fldCharType="separate"/>
      </w:r>
      <w:r w:rsidR="00021D26" w:rsidRPr="000F1EA3">
        <w:rPr>
          <w:noProof/>
          <w:vertAlign w:val="superscript"/>
        </w:rPr>
        <w:t>8</w:t>
      </w:r>
      <w:r w:rsidR="00B966E8" w:rsidRPr="000F1EA3">
        <w:fldChar w:fldCharType="end"/>
      </w:r>
      <w:r w:rsidR="00B966E8" w:rsidRPr="000F1EA3">
        <w:t xml:space="preserve"> Rapeseed protein contains a well-balanced amino acid composition and is recognized as a high quality protein, comparable with milk and egg proteins.</w:t>
      </w:r>
      <w:r w:rsidR="00B966E8" w:rsidRPr="000F1EA3">
        <w:fldChar w:fldCharType="begin" w:fldLock="1"/>
      </w:r>
      <w:r w:rsidR="00021D26" w:rsidRPr="000F1EA3">
        <w:instrText>ADDIN CSL_CITATION { "citationItems" : [ { "id" : "ITEM-1", "itemData" : { "DOI" : "10.1051/ocl/2016028", "ISBN" : "1258-8210", "ISSN" : "2272-6977", "abstract" : "\u2013 Protein rich meal is a valuable co-product of canola/rapeseed oil extraction. Seed storage proteins that include cruciferin (11S) and napin (2S) dominate the protein complement of canola while oleosins, lipid transfer pro-teins and other minor proteins of non-storage nature are also found. Although oil-free canola meal contains 36\u201340% protein on a dry weight basis, non-protein components including fibre, polymeric phenolics, phytates and sinapine, etc. of the seed coat and cellular components make protein less suitable for food use. Separation of canola protein from non-protein components is a technical challenge but necessary to obtain full nutritional and functional potential of protein. Process conditions of raw material and protein preparation are critical of nutritional and functional value of the final protein product. The storage proteins of canola can satisfy many nutritional and functional requirements for food applications. Protein macromolecules of canola also provide functionalities required in applications beyond edible uses; there exists substantial potential as a source of plant protein and a renewable biopolymer. Available information at present is mostly based on the protein products that can be obtained as mixtures of storage protein types and other chemical constituents of the seed; therefore, full potential of canola storage proteins is yet to be revealed. R\u00e9sum\u00e9 \u2013 Prot\u00e9ines de canola et de colza : fonctionnalit\u00e9s et nutrition. Les tourteaux riches en prot\u00e9ines repr\u00e9-sentent un coproduit de valeur de l'extraction de l'huile de canola/colza. Dans la graine, les prot\u00e9ines de stockage, notamment la crucif\u00e9rine (11S) et la napine (2S), dominent la fraction prot\u00e9ique du canola, mais des ol\u00e9osines, des prot\u00e9ines de transfert de lipides et d'autres prot\u00e9ines mineures non d\u00e9di\u00e9es au stockage sont \u00e9galement pr\u00e9sentes. Bien que le tourteau de canola d\u00e9shuil\u00e9 contienne 36\u201340 % de prot\u00e9ines sur poids sec, la pr\u00e9sence de composants non pro-t\u00e9iques, dont les fibres, les polym\u00e8res ph\u00e9noliques, les phytates, la sinapine, etc. issus de l'enveloppe de la graine et des composants cellulaires rendent les prot\u00e9ines moins appropri\u00e9es \u00e0 une utilisation en alimentation humaine. Cette revue pr\u00e9sente les connaissances actuelles en termes de valeur nutritionnelle et fonctionnelle des prot\u00e9ines issues des graines de canola. La s\u00e9paration des prot\u00e9ines de canola des composants non prot\u00e9iques repr\u00e9sente un d\u00e9fi technique mais n\u00e9cessaire pour lib\u00e9rer totalement \u2026", "author" : [ { "dropping-particle" : "", "family" : "Wanasundara", "given" : "Janitha P.D.", "non-dropping-particle" : "", "parse-names" : false, "suffix" : "" }, { "dropping-particle" : "", "family" : "McIntosh", "given" : "Tara C.", "non-dropping-particle" : "", "parse-names" : false, "suffix" : "" }, { "dropping-particle" : "", "family" : "Perera", "given" : "Suneru P", "non-dropping-particle" : "", "parse-names" : false, "suffix" : "" }, { "dropping-particle" : "", "family" : "Withana-Gamage", "given" : "Thushan S", "non-dropping-particle" : "", "parse-names" : false, "suffix" : "" }, { "dropping-particle" : "", "family" : "Mitra", "given" : "Pranabendu", "non-dropping-particle" : "", "parse-names" : false, "suffix" : "" } ], "container-title" : "OCL", "id" : "ITEM-1", "issue" : "4", "issued" : { "date-parts" : [ [ "2016" ] ] }, "page" : "D407", "title" : "Canola/rapeseed protein-functionality and nutrition", "type" : "article-journal", "volume" : "23" }, "uris" : [ "http://www.mendeley.com/documents/?uuid=763d4d89-027a-470f-b70d-03c6561257cf" ] } ], "mendeley" : { "formattedCitation" : "&lt;sup&gt;6&lt;/sup&gt;", "plainTextFormattedCitation" : "6", "previouslyFormattedCitation" : "&lt;sup&gt;6&lt;/sup&gt;" }, "properties" : { "noteIndex" : 0 }, "schema" : "https://github.com/citation-style-language/schema/raw/master/csl-citation.json" }</w:instrText>
      </w:r>
      <w:r w:rsidR="00B966E8" w:rsidRPr="000F1EA3">
        <w:fldChar w:fldCharType="separate"/>
      </w:r>
      <w:r w:rsidR="00021D26" w:rsidRPr="000F1EA3">
        <w:rPr>
          <w:noProof/>
          <w:vertAlign w:val="superscript"/>
        </w:rPr>
        <w:t>6</w:t>
      </w:r>
      <w:r w:rsidR="00B966E8" w:rsidRPr="000F1EA3">
        <w:fldChar w:fldCharType="end"/>
      </w:r>
      <w:r w:rsidR="00B966E8" w:rsidRPr="000F1EA3">
        <w:rPr>
          <w:vertAlign w:val="superscript"/>
        </w:rPr>
        <w:t>,</w:t>
      </w:r>
      <w:r w:rsidR="00B966E8" w:rsidRPr="000F1EA3">
        <w:fldChar w:fldCharType="begin" w:fldLock="1"/>
      </w:r>
      <w:r w:rsidR="00021D26" w:rsidRPr="000F1EA3">
        <w:instrText>ADDIN CSL_CITATION { "citationItems" : [ { "id" : "ITEM-1", "itemData" : { "DOI" : "10.1016/j.tifs.2010.11.002", "ISBN" : "09242244", "ISSN" : "09242244", "abstract" : "There is a well-recognized connection between the use of plant proteins in functional foods, nutraceuticals and other natural health products and health promotion and disease risk reduction. Plant proteins are largely used in the food industry, and canola/rapeseed proteins are regarded as potential ingredients that may be used as food additives. In this review, the chemical composition (amino acids and protein fractions), production and isolation techniques, functional properties, allergenicity, food applications and potential uses of canola proteins for the production of bioactive compounds are highlighted. \u00a9 2010 Elsevier Ltd.", "author" : [ { "dropping-particle" : "", "family" : "Aider", "given" : "Mohammed", "non-dropping-particle" : "", "parse-names" : false, "suffix" : "" }, { "dropping-particle" : "", "family" : "Barbana", "given" : "Chockry", "non-dropping-particle" : "", "parse-names" : false, "suffix" : "" } ], "container-title" : "Trends in Food Science and Technology", "id" : "ITEM-1", "issue" : "1", "issued" : { "date-parts" : [ [ "2011" ] ] }, "page" : "21-39", "title" : "Canola proteins: Composition, extraction, functional properties, bioactivity, applications as a food ingredient and allergenicity - A practical and critical review", "type" : "article-journal", "volume" : "22" }, "uris" : [ "http://www.mendeley.com/documents/?uuid=76d67ef2-de3d-4042-8e30-b4cdc0e94a29" ] } ], "mendeley" : { "formattedCitation" : "&lt;sup&gt;7&lt;/sup&gt;", "plainTextFormattedCitation" : "7", "previouslyFormattedCitation" : "&lt;sup&gt;7&lt;/sup&gt;" }, "properties" : { "noteIndex" : 0 }, "schema" : "https://github.com/citation-style-language/schema/raw/master/csl-citation.json" }</w:instrText>
      </w:r>
      <w:r w:rsidR="00B966E8" w:rsidRPr="000F1EA3">
        <w:fldChar w:fldCharType="separate"/>
      </w:r>
      <w:r w:rsidR="00021D26" w:rsidRPr="000F1EA3">
        <w:rPr>
          <w:noProof/>
          <w:vertAlign w:val="superscript"/>
        </w:rPr>
        <w:t>7</w:t>
      </w:r>
      <w:r w:rsidR="00B966E8" w:rsidRPr="000F1EA3">
        <w:fldChar w:fldCharType="end"/>
      </w:r>
      <w:r w:rsidR="00B966E8" w:rsidRPr="000F1EA3">
        <w:t xml:space="preserve"> The limiting factors of the use of rapeseed cake (RC) as protein source in the food applications is the content of undesirable compounds, such as </w:t>
      </w:r>
      <w:proofErr w:type="spellStart"/>
      <w:r w:rsidR="00B966E8" w:rsidRPr="000F1EA3">
        <w:t>glucosinolates</w:t>
      </w:r>
      <w:proofErr w:type="spellEnd"/>
      <w:r w:rsidR="00B966E8" w:rsidRPr="000F1EA3">
        <w:t xml:space="preserve">, </w:t>
      </w:r>
      <w:proofErr w:type="spellStart"/>
      <w:r w:rsidR="00B966E8" w:rsidRPr="000F1EA3">
        <w:t>phytates</w:t>
      </w:r>
      <w:proofErr w:type="spellEnd"/>
      <w:r w:rsidR="00B966E8" w:rsidRPr="000F1EA3">
        <w:t>, and phenolic compounds, which are responsible for the unfavorable colors and tastes of rapeseed proteins.</w:t>
      </w:r>
      <w:r w:rsidR="00B966E8" w:rsidRPr="000F1EA3">
        <w:fldChar w:fldCharType="begin" w:fldLock="1"/>
      </w:r>
      <w:r w:rsidR="00021D26" w:rsidRPr="000F1EA3">
        <w:instrText>ADDIN CSL_CITATION { "citationItems" : [ { "id" : "ITEM-1", "itemData" : { "DOI" : "10.1051/ocl/2016028", "ISBN" : "1258-8210", "ISSN" : "2272-6977", "abstract" : "\u2013 Protein rich meal is a valuable co-product of canola/rapeseed oil extraction. Seed storage proteins that include cruciferin (11S) and napin (2S) dominate the protein complement of canola while oleosins, lipid transfer pro-teins and other minor proteins of non-storage nature are also found. Although oil-free canola meal contains 36\u201340% protein on a dry weight basis, non-protein components including fibre, polymeric phenolics, phytates and sinapine, etc. of the seed coat and cellular components make protein less suitable for food use. Separation of canola protein from non-protein components is a technical challenge but necessary to obtain full nutritional and functional potential of protein. Process conditions of raw material and protein preparation are critical of nutritional and functional value of the final protein product. The storage proteins of canola can satisfy many nutritional and functional requirements for food applications. Protein macromolecules of canola also provide functionalities required in applications beyond edible uses; there exists substantial potential as a source of plant protein and a renewable biopolymer. Available information at present is mostly based on the protein products that can be obtained as mixtures of storage protein types and other chemical constituents of the seed; therefore, full potential of canola storage proteins is yet to be revealed. R\u00e9sum\u00e9 \u2013 Prot\u00e9ines de canola et de colza : fonctionnalit\u00e9s et nutrition. Les tourteaux riches en prot\u00e9ines repr\u00e9-sentent un coproduit de valeur de l'extraction de l'huile de canola/colza. Dans la graine, les prot\u00e9ines de stockage, notamment la crucif\u00e9rine (11S) et la napine (2S), dominent la fraction prot\u00e9ique du canola, mais des ol\u00e9osines, des prot\u00e9ines de transfert de lipides et d'autres prot\u00e9ines mineures non d\u00e9di\u00e9es au stockage sont \u00e9galement pr\u00e9sentes. Bien que le tourteau de canola d\u00e9shuil\u00e9 contienne 36\u201340 % de prot\u00e9ines sur poids sec, la pr\u00e9sence de composants non pro-t\u00e9iques, dont les fibres, les polym\u00e8res ph\u00e9noliques, les phytates, la sinapine, etc. issus de l'enveloppe de la graine et des composants cellulaires rendent les prot\u00e9ines moins appropri\u00e9es \u00e0 une utilisation en alimentation humaine. Cette revue pr\u00e9sente les connaissances actuelles en termes de valeur nutritionnelle et fonctionnelle des prot\u00e9ines issues des graines de canola. La s\u00e9paration des prot\u00e9ines de canola des composants non prot\u00e9iques repr\u00e9sente un d\u00e9fi technique mais n\u00e9cessaire pour lib\u00e9rer totalement \u2026", "author" : [ { "dropping-particle" : "", "family" : "Wanasundara", "given" : "Janitha P.D.", "non-dropping-particle" : "", "parse-names" : false, "suffix" : "" }, { "dropping-particle" : "", "family" : "McIntosh", "given" : "Tara C.", "non-dropping-particle" : "", "parse-names" : false, "suffix" : "" }, { "dropping-particle" : "", "family" : "Perera", "given" : "Suneru P", "non-dropping-particle" : "", "parse-names" : false, "suffix" : "" }, { "dropping-particle" : "", "family" : "Withana-Gamage", "given" : "Thushan S", "non-dropping-particle" : "", "parse-names" : false, "suffix" : "" }, { "dropping-particle" : "", "family" : "Mitra", "given" : "Pranabendu", "non-dropping-particle" : "", "parse-names" : false, "suffix" : "" } ], "container-title" : "OCL", "id" : "ITEM-1", "issue" : "4", "issued" : { "date-parts" : [ [ "2016" ] ] }, "page" : "D407", "title" : "Canola/rapeseed protein-functionality and nutrition", "type" : "article-journal", "volume" : "23" }, "uris" : [ "http://www.mendeley.com/documents/?uuid=763d4d89-027a-470f-b70d-03c6561257cf" ] } ], "mendeley" : { "formattedCitation" : "&lt;sup&gt;6&lt;/sup&gt;", "plainTextFormattedCitation" : "6", "previouslyFormattedCitation" : "&lt;sup&gt;6&lt;/sup&gt;" }, "properties" : { "noteIndex" : 0 }, "schema" : "https://github.com/citation-style-language/schema/raw/master/csl-citation.json" }</w:instrText>
      </w:r>
      <w:r w:rsidR="00B966E8" w:rsidRPr="000F1EA3">
        <w:fldChar w:fldCharType="separate"/>
      </w:r>
      <w:r w:rsidR="00021D26" w:rsidRPr="000F1EA3">
        <w:rPr>
          <w:noProof/>
          <w:vertAlign w:val="superscript"/>
        </w:rPr>
        <w:t>6</w:t>
      </w:r>
      <w:r w:rsidR="00B966E8" w:rsidRPr="000F1EA3">
        <w:fldChar w:fldCharType="end"/>
      </w:r>
      <w:r w:rsidR="00B966E8" w:rsidRPr="000F1EA3">
        <w:rPr>
          <w:vertAlign w:val="superscript"/>
        </w:rPr>
        <w:t>,</w:t>
      </w:r>
      <w:r w:rsidR="00B966E8" w:rsidRPr="000F1EA3">
        <w:fldChar w:fldCharType="begin" w:fldLock="1"/>
      </w:r>
      <w:r w:rsidR="00021D26" w:rsidRPr="000F1EA3">
        <w:instrText>ADDIN CSL_CITATION { "citationItems" : [ { "id" : "ITEM-1", "itemData" : { "DOI" : "10.1016/j.tifs.2010.11.002", "ISBN" : "09242244", "ISSN" : "09242244", "abstract" : "There is a well-recognized connection between the use of plant proteins in functional foods, nutraceuticals and other natural health products and health promotion and disease risk reduction. Plant proteins are largely used in the food industry, and canola/rapeseed proteins are regarded as potential ingredients that may be used as food additives. In this review, the chemical composition (amino acids and protein fractions), production and isolation techniques, functional properties, allergenicity, food applications and potential uses of canola proteins for the production of bioactive compounds are highlighted. \u00a9 2010 Elsevier Ltd.", "author" : [ { "dropping-particle" : "", "family" : "Aider", "given" : "Mohammed", "non-dropping-particle" : "", "parse-names" : false, "suffix" : "" }, { "dropping-particle" : "", "family" : "Barbana", "given" : "Chockry", "non-dropping-particle" : "", "parse-names" : false, "suffix" : "" } ], "container-title" : "Trends in Food Science and Technology", "id" : "ITEM-1", "issue" : "1", "issued" : { "date-parts" : [ [ "2011" ] ] }, "page" : "21-39", "title" : "Canola proteins: Composition, extraction, functional properties, bioactivity, applications as a food ingredient and allergenicity - A practical and critical review", "type" : "article-journal", "volume" : "22" }, "uris" : [ "http://www.mendeley.com/documents/?uuid=76d67ef2-de3d-4042-8e30-b4cdc0e94a29" ] } ], "mendeley" : { "formattedCitation" : "&lt;sup&gt;7&lt;/sup&gt;", "plainTextFormattedCitation" : "7", "previouslyFormattedCitation" : "&lt;sup&gt;7&lt;/sup&gt;" }, "properties" : { "noteIndex" : 0 }, "schema" : "https://github.com/citation-style-language/schema/raw/master/csl-citation.json" }</w:instrText>
      </w:r>
      <w:r w:rsidR="00B966E8" w:rsidRPr="000F1EA3">
        <w:fldChar w:fldCharType="separate"/>
      </w:r>
      <w:r w:rsidR="00021D26" w:rsidRPr="000F1EA3">
        <w:rPr>
          <w:noProof/>
          <w:vertAlign w:val="superscript"/>
        </w:rPr>
        <w:t>7</w:t>
      </w:r>
      <w:r w:rsidR="00B966E8" w:rsidRPr="000F1EA3">
        <w:fldChar w:fldCharType="end"/>
      </w:r>
      <w:r w:rsidR="00B966E8" w:rsidRPr="000F1EA3">
        <w:t xml:space="preserve"> Most phenolic compounds identified in RC are free and esterified phenolic acids (mainly </w:t>
      </w:r>
      <w:proofErr w:type="spellStart"/>
      <w:r w:rsidR="00B966E8" w:rsidRPr="000F1EA3">
        <w:t>sinapine</w:t>
      </w:r>
      <w:proofErr w:type="spellEnd"/>
      <w:r w:rsidR="00B966E8" w:rsidRPr="000F1EA3">
        <w:t>, about 1%) and condensed tannins (up to 3%),</w:t>
      </w:r>
      <w:r w:rsidR="00B966E8" w:rsidRPr="000F1EA3">
        <w:fldChar w:fldCharType="begin" w:fldLock="1"/>
      </w:r>
      <w:r w:rsidR="00021D26" w:rsidRPr="000F1EA3">
        <w:instrText>ADDIN CSL_CITATION { "citationItems" : [ { "id" : "ITEM-1", "itemData" : { "DOI" : "10.1016/j.tifs.2010.11.002", "ISBN" : "09242244", "ISSN" : "09242244", "abstract" : "There is a well-recognized connection between the use of plant proteins in functional foods, nutraceuticals and other natural health products and health promotion and disease risk reduction. Plant proteins are largely used in the food industry, and canola/rapeseed proteins are regarded as potential ingredients that may be used as food additives. In this review, the chemical composition (amino acids and protein fractions), production and isolation techniques, functional properties, allergenicity, food applications and potential uses of canola proteins for the production of bioactive compounds are highlighted. \u00a9 2010 Elsevier Ltd.", "author" : [ { "dropping-particle" : "", "family" : "Aider", "given" : "Mohammed", "non-dropping-particle" : "", "parse-names" : false, "suffix" : "" }, { "dropping-particle" : "", "family" : "Barbana", "given" : "Chockry", "non-dropping-particle" : "", "parse-names" : false, "suffix" : "" } ], "container-title" : "Trends in Food Science and Technology", "id" : "ITEM-1", "issue" : "1", "issued" : { "date-parts" : [ [ "2011" ] ] }, "page" : "21-39", "title" : "Canola proteins: Composition, extraction, functional properties, bioactivity, applications as a food ingredient and allergenicity - A practical and critical review", "type" : "article-journal", "volume" : "22" }, "uris" : [ "http://www.mendeley.com/documents/?uuid=76d67ef2-de3d-4042-8e30-b4cdc0e94a29" ] } ], "mendeley" : { "formattedCitation" : "&lt;sup&gt;7&lt;/sup&gt;", "plainTextFormattedCitation" : "7", "previouslyFormattedCitation" : "&lt;sup&gt;7&lt;/sup&gt;" }, "properties" : { "noteIndex" : 0 }, "schema" : "https://github.com/citation-style-language/schema/raw/master/csl-citation.json" }</w:instrText>
      </w:r>
      <w:r w:rsidR="00B966E8" w:rsidRPr="000F1EA3">
        <w:fldChar w:fldCharType="separate"/>
      </w:r>
      <w:r w:rsidR="00021D26" w:rsidRPr="000F1EA3">
        <w:rPr>
          <w:noProof/>
          <w:vertAlign w:val="superscript"/>
        </w:rPr>
        <w:t>7</w:t>
      </w:r>
      <w:r w:rsidR="00B966E8" w:rsidRPr="000F1EA3">
        <w:fldChar w:fldCharType="end"/>
      </w:r>
      <w:r w:rsidR="00B966E8" w:rsidRPr="000F1EA3">
        <w:rPr>
          <w:vertAlign w:val="superscript"/>
        </w:rPr>
        <w:t>,</w:t>
      </w:r>
      <w:r w:rsidR="00B966E8" w:rsidRPr="000F1EA3">
        <w:fldChar w:fldCharType="begin" w:fldLock="1"/>
      </w:r>
      <w:r w:rsidR="00021D26" w:rsidRPr="000F1EA3">
        <w:instrText>ADDIN CSL_CITATION { "citationItems" : [ { "id" : "ITEM-1", "itemData" : { "DOI" : "10.1016/j.foodchem.2010.03.081", "ISBN" : "0308-8146", "ISSN" : "03088146", "abstract" : "Seeds, meals and cakes of 27 canola (Brassica napus L.) varieties and one Indian mustard (Brassica juncea L.) sample were investigated for chlorophyll, phytic acid and condensed tannin content. The DPPH free-radical-scavenging potential of minor components was also investigated. Chlorophyll contents ranged from 2.57 to 16.95, 5.38 to 8.52 and 1.15 to 6.19 mg/kg for canola seeds, cakes and meals, respectively. A positive correlation (R2= 0.99) was found between the oil and chlorophyll contents. Phytic acid contents were 2.16-3.75, 3.15-3.28 and 2.07-3.62 g/100 g for canola seeds, cakes and meals, respectively. The corresponding values for condensed tannins were 0.46-1.53, 1.12-1.32 and 0.59-1.19 g/100 g. These components showed good DPPH-scavenging activity with phytic acid having the highest effect followed by condensed tannins and chlorophyll. This information will be helpful in selecting varieties with appropriate content of these components for further application. \u00a9 2010 Elsevier Ltd. All rights reserved.", "author" : [ { "dropping-particle" : "", "family" : "Khattab", "given" : "Rabie", "non-dropping-particle" : "", "parse-names" : false, "suffix" : "" }, { "dropping-particle" : "", "family" : "Goldberg", "given" : "Erin", "non-dropping-particle" : "", "parse-names" : false, "suffix" : "" }, { "dropping-particle" : "", "family" : "Lin", "given" : "Lin", "non-dropping-particle" : "", "parse-names" : false, "suffix" : "" }, { "dropping-particle" : "", "family" : "Thiyam", "given" : "Usha", "non-dropping-particle" : "", "parse-names" : false, "suffix" : "" } ], "container-title" : "Food Chemistry", "id" : "ITEM-1", "issue" : "4", "issued" : { "date-parts" : [ [ "2010" ] ] }, "page" : "1266-1272", "title" : "Quantitative analysis and free-radical-scavenging activity of chlorophyll, phytic acid, and condensed tannins in canola", "type" : "article-journal", "volume" : "122" }, "uris" : [ "http://www.mendeley.com/documents/?uuid=8e50eaed-826e-45cf-9b99-1c942c07367f" ] } ], "mendeley" : { "formattedCitation" : "&lt;sup&gt;9&lt;/sup&gt;", "plainTextFormattedCitation" : "9", "previouslyFormattedCitation" : "&lt;sup&gt;9&lt;/sup&gt;" }, "properties" : { "noteIndex" : 0 }, "schema" : "https://github.com/citation-style-language/schema/raw/master/csl-citation.json" }</w:instrText>
      </w:r>
      <w:r w:rsidR="00B966E8" w:rsidRPr="000F1EA3">
        <w:fldChar w:fldCharType="separate"/>
      </w:r>
      <w:r w:rsidR="00021D26" w:rsidRPr="000F1EA3">
        <w:rPr>
          <w:noProof/>
          <w:vertAlign w:val="superscript"/>
        </w:rPr>
        <w:t>9</w:t>
      </w:r>
      <w:r w:rsidR="00B966E8" w:rsidRPr="000F1EA3">
        <w:fldChar w:fldCharType="end"/>
      </w:r>
      <w:r w:rsidR="00B966E8" w:rsidRPr="000F1EA3">
        <w:t xml:space="preserve"> which may be extracted under alkaline conditions but then furnish a dark color in the rapeseed protein products.</w:t>
      </w:r>
      <w:r w:rsidR="00B966E8" w:rsidRPr="000F1EA3">
        <w:fldChar w:fldCharType="begin" w:fldLock="1"/>
      </w:r>
      <w:r w:rsidR="00021D26" w:rsidRPr="000F1EA3">
        <w:instrText>ADDIN CSL_CITATION { "citationItems" : [ { "id" : "ITEM-1", "itemData" : { "DOI" : "10.1080/10408391003749942", "ISBN" : "1040-8398", "ISSN" : "10408398", "PMID" : "21793726", "abstract" : "Among the commercially cultivated Brassicaceae (Cruciferae) plants, Brassica juncea, Brassica napus, Brassica rapa, and Sinapis alba store significant amounts of oil and protein in the seed. At present, Brassica seed proteins are primarily used for livestock feeding based on the nutritional value. The point of curiosity is whether the present knowledge on the protein structure, biochemical characteristics, nutritive value, and the recovery processes are inadequate to develop Brassica proteins into a usable plant protein source or these proteins are of substandard for uses beyond animal nutrition applications. Cruciferin (11S) and napin (2S) are the predominant storage proteins of Brassicaceae seeds that contribute to different properties and functions. A gamut of information is available on the chemistry, nutritional value, as well as the functionality in foods, and associated non-protein components of canola/rapeseed storage proteins. The intention of this article is to critically review what is known about the predominant storage proteins of commercially produced Brassicaceae seeds relative to the above aspects and identify the knowledge gaps.", "author" : [ { "dropping-particle" : "", "family" : "Wanasundara", "given" : "Janitha P.D.", "non-dropping-particle" : "", "parse-names" : false, "suffix" : "" } ], "container-title" : "Critical Reviews in Food Science and Nutrition", "id" : "ITEM-1", "issue" : "7", "issued" : { "date-parts" : [ [ "2011" ] ] }, "page" : "635-677", "title" : "Proteins of brassicaceae oilseeds and their potential as a plant protein source", "type" : "article-journal", "volume" : "51" }, "uris" : [ "http://www.mendeley.com/documents/?uuid=7a7c512b-00c3-4f0d-977f-b9cc4a19c4ca" ] } ], "mendeley" : { "formattedCitation" : "&lt;sup&gt;10&lt;/sup&gt;", "plainTextFormattedCitation" : "10", "previouslyFormattedCitation" : "&lt;sup&gt;10&lt;/sup&gt;" }, "properties" : { "noteIndex" : 0 }, "schema" : "https://github.com/citation-style-language/schema/raw/master/csl-citation.json" }</w:instrText>
      </w:r>
      <w:r w:rsidR="00B966E8" w:rsidRPr="000F1EA3">
        <w:fldChar w:fldCharType="separate"/>
      </w:r>
      <w:r w:rsidR="00021D26" w:rsidRPr="000F1EA3">
        <w:rPr>
          <w:noProof/>
          <w:vertAlign w:val="superscript"/>
        </w:rPr>
        <w:t>10</w:t>
      </w:r>
      <w:r w:rsidR="00B966E8" w:rsidRPr="000F1EA3">
        <w:fldChar w:fldCharType="end"/>
      </w:r>
    </w:p>
    <w:p w:rsidR="00B966E8" w:rsidRPr="000F1EA3" w:rsidRDefault="00B966E8" w:rsidP="00B966E8">
      <w:pPr>
        <w:pStyle w:val="TAMainText"/>
      </w:pPr>
      <w:r w:rsidRPr="000F1EA3">
        <w:t xml:space="preserve">Interestingly, </w:t>
      </w:r>
      <w:r w:rsidR="00D76D68" w:rsidRPr="000F1EA3">
        <w:t>evening p</w:t>
      </w:r>
      <w:r w:rsidRPr="000F1EA3">
        <w:t>rimrose (</w:t>
      </w:r>
      <w:proofErr w:type="spellStart"/>
      <w:r w:rsidRPr="000F1EA3">
        <w:rPr>
          <w:i/>
        </w:rPr>
        <w:t>Oenothera</w:t>
      </w:r>
      <w:proofErr w:type="spellEnd"/>
      <w:r w:rsidRPr="000F1EA3">
        <w:rPr>
          <w:i/>
        </w:rPr>
        <w:t xml:space="preserve"> </w:t>
      </w:r>
      <w:proofErr w:type="spellStart"/>
      <w:r w:rsidRPr="000F1EA3">
        <w:rPr>
          <w:i/>
        </w:rPr>
        <w:t>bienn</w:t>
      </w:r>
      <w:r w:rsidRPr="000F1EA3">
        <w:t>is</w:t>
      </w:r>
      <w:proofErr w:type="spellEnd"/>
      <w:r w:rsidRPr="000F1EA3">
        <w:t xml:space="preserve"> L.) oil has attracted interest due to its high content of γ-</w:t>
      </w:r>
      <w:proofErr w:type="spellStart"/>
      <w:r w:rsidRPr="000F1EA3">
        <w:t>linolenic</w:t>
      </w:r>
      <w:proofErr w:type="spellEnd"/>
      <w:r w:rsidRPr="000F1EA3">
        <w:t xml:space="preserve"> acid (6.9-12.6%).</w:t>
      </w:r>
      <w:r w:rsidRPr="000F1EA3">
        <w:fldChar w:fldCharType="begin" w:fldLock="1"/>
      </w:r>
      <w:r w:rsidR="00021D26" w:rsidRPr="000F1EA3">
        <w:instrText>ADDIN CSL_CITATION { "citationItems" : [ { "id" : "ITEM-1", "itemData" : { "author" : [ { "dropping-particle" : "", "family" : "Yang", "given" : "Ruinan", "non-dropping-particle" : "", "parse-names" : false, "suffix" : "" }, { "dropping-particle" : "", "family" : "Zhang", "given" : "Liangxiao", "non-dropping-particle" : "", "parse-names" : false, "suffix" : "" }, { "dropping-particle" : "", "family" : "Li", "given" : "Peiwu", "non-dropping-particle" : "", "parse-names" : false, "suffix" : "" }, { "dropping-particle" : "", "family" : "Yu", "given" : "Li", "non-dropping-particle" : "", "parse-names" : false, "suffix" : "" }, { "dropping-particle" : "", "family" : "Mao", "given" : "Jin", "non-dropping-particle" : "", "parse-names" : false, "suffix" : "" }, { "dropping-particle" : "", "family" : "Wang", "given" : "Xiupin", "non-dropping-particle" : "", "parse-names" : false, "suffix" : "" } ], "container-title" : "Trends in Food Science &amp; Technology", "id" : "ITEM-1", "issue" : "February", "issued" : { "date-parts" : [ [ "2018" ] ] }, "page" : "26-32", "title" : "A review of chemical composition and nutritional properties of minor vegetable oils in China", "type" : "article-journal", "volume" : "74" }, "uris" : [ "http://www.mendeley.com/documents/?uuid=9cc55d38-868f-46f1-99c8-9f3ba60f65a7" ] } ], "mendeley" : { "formattedCitation" : "&lt;sup&gt;11&lt;/sup&gt;", "plainTextFormattedCitation" : "11", "previouslyFormattedCitation" : "&lt;sup&gt;11&lt;/sup&gt;" }, "properties" : { "noteIndex" : 0 }, "schema" : "https://github.com/citation-style-language/schema/raw/master/csl-citation.json" }</w:instrText>
      </w:r>
      <w:r w:rsidRPr="000F1EA3">
        <w:fldChar w:fldCharType="separate"/>
      </w:r>
      <w:r w:rsidR="00021D26" w:rsidRPr="000F1EA3">
        <w:rPr>
          <w:noProof/>
          <w:vertAlign w:val="superscript"/>
        </w:rPr>
        <w:t>11</w:t>
      </w:r>
      <w:r w:rsidRPr="000F1EA3">
        <w:fldChar w:fldCharType="end"/>
      </w:r>
      <w:r w:rsidRPr="000F1EA3">
        <w:t xml:space="preserve"> It is used as a nutritional and a medicinal supplement to treat a variety of ailments including rheumatic and arthritic conditions, eczema, psoriasis, </w:t>
      </w:r>
      <w:r w:rsidRPr="000F1EA3">
        <w:lastRenderedPageBreak/>
        <w:t>premenstrual and menopausal syndrome, and diabetic neuropathy.</w:t>
      </w:r>
      <w:r w:rsidRPr="000F1EA3">
        <w:fldChar w:fldCharType="begin" w:fldLock="1"/>
      </w:r>
      <w:r w:rsidR="00021D26" w:rsidRPr="000F1EA3">
        <w:instrText>ADDIN CSL_CITATION { "citationItems" : [ { "id" : "ITEM-1", "itemData" : { "DOI" : "10.1016/j.phytol.2013.08.008", "ISSN" : "18767486", "abstract" : "Evening Primrose oil (EPO) is a natural product extracted by cold-pressed from Oenothera biennis L. seeds. EPO is widely used as a dietary supplement from which beneficial effects have been reported in rheumatic and arthritic conditions, atopic dermatitis, psoriasis, premenstrual and menopausal syndrome, and diabetic neuropathy. The beneficial effects of EPO are thought to be due to its \u03b3-linolenic acid content; in contrast, little effort has been expended to characterize the non-triglyceridic constituents of EPO. In order to evaluate its potential as source of functional food ingredients our aim in this work has been identified and quantified the different components of EPO by different techniques (GC-MS and HPLC). The lipid profile showed that oleic (7%), linoleic (74%) and \u03b3-linolenic (9%) were the most abundance fatty acids. Unsaponifiable matter and subfractions were obtained by CEE/2568/91. Separation of the compounds under study was achieved giving a reasonable analysis time and good resolution. A yield (1.82-1.95%) of unsaponifiable matter was obtained and levels of saturated hydrocarbons (0.291.97 \u00b1 14.85 mg) were noticed. \u03b2-Sitosterol (7952.00 \u00b1 342.25 mg/kg oil) and campesterol (883.32 \u00b1 0.45 mg/kg oil) were predominant in phytosterol fraction (9573 mg/kg oil), while tetracosanol (236.93 \u00b1 2.32 mg/kg oil) and hexacosanol (289.92 \u00b1 3.41 mg/kg oil) in linear aliphatic alcohol fraction (798.04 \u00b1 5.66 mg/kg oil). In the phenolic fraction (55.49 \u00b1 2.76 mg/kg oil), ferulic acid (25.23 \u00b1 2.64 mg/kg oil) was the major component. From the results obtained, it can be suggested that the Evening Primrose oil can be considered an interesting alimentary source of substances of nutraceutical value. \u00a9 2013 Phytochemical Society of Europe.", "author" : [ { "dropping-particle" : "", "family" : "Montserrat-De La Paz", "given" : "S.", "non-dropping-particle" : "", "parse-names" : false, "suffix" : "" }, { "dropping-particle" : "", "family" : "Fern\u00e1ndez-Arche", "given" : "M. A.", "non-dropping-particle" : "", "parse-names" : false, "suffix" : "" }, { "dropping-particle" : "", "family" : "\u00c1ngel-Mart\u00edn", "given" : "M.", "non-dropping-particle" : "", "parse-names" : false, "suffix" : "" }, { "dropping-particle" : "", "family" : "Garc\u00eda-Gim\u00e9nez", "given" : "M. D.", "non-dropping-particle" : "", "parse-names" : false, "suffix" : "" } ], "container-title" : "Phytochemistry Letters", "id" : "ITEM-1", "issue" : "1", "issued" : { "date-parts" : [ [ "2014" ] ] }, "page" : "158-162", "title" : "Phytochemical characterization of potential nutraceutical ingredients from Evening Primrose oil (Oenothera biennis L.)", "type" : "article-journal", "volume" : "8" }, "uris" : [ "http://www.mendeley.com/documents/?uuid=b5c1bec6-7282-4727-ab47-a8511fdbb282" ] } ], "mendeley" : { "formattedCitation" : "&lt;sup&gt;12&lt;/sup&gt;", "plainTextFormattedCitation" : "12", "previouslyFormattedCitation" : "&lt;sup&gt;12&lt;/sup&gt;" }, "properties" : { "noteIndex" : 0 }, "schema" : "https://github.com/citation-style-language/schema/raw/master/csl-citation.json" }</w:instrText>
      </w:r>
      <w:r w:rsidRPr="000F1EA3">
        <w:fldChar w:fldCharType="separate"/>
      </w:r>
      <w:r w:rsidR="00021D26" w:rsidRPr="000F1EA3">
        <w:rPr>
          <w:noProof/>
          <w:vertAlign w:val="superscript"/>
        </w:rPr>
        <w:t>12</w:t>
      </w:r>
      <w:r w:rsidRPr="000F1EA3">
        <w:fldChar w:fldCharType="end"/>
      </w:r>
      <w:r w:rsidRPr="000F1EA3">
        <w:t xml:space="preserve"> China is the world's largest evening primrose producer, but with the growing demand for evening primrose oil, there has been an increase in raw material cultivation in Europe and North America as well.</w:t>
      </w:r>
      <w:r w:rsidRPr="000F1EA3">
        <w:fldChar w:fldCharType="begin" w:fldLock="1"/>
      </w:r>
      <w:r w:rsidR="00021D26" w:rsidRPr="000F1EA3">
        <w:instrText>ADDIN CSL_CITATION { "citationItems" : [ { "id" : "ITEM-1", "itemData" : { "DOI" : "10.1002/ejlt.200700259", "ISSN" : "14387697", "abstract" : "The paper gives a short overview about the production and composition of borage (Borago officinalis) and evening primrose (Oenothera biennis) oil considering special aspects of the production as cold-pressed oil. Both oils are characterized by a remarkable amount of ?-linolenic acid, which has some nutritional advantages. The fatty acid composition of evening primrose oil is dominated by linoleic acid with about 72% and about 13% ?-linolenic acid, while borage oil consists of twice the amount of ?-linolenic acid and only 38% linoleic acid. The amount of saturated fatty acids is higher in borage oil. The tocopherol composition of both oils is dominated by ?-tocopherol, with borage oil containing twice the amount compared to evening primrose oil. \u00a9 2008 Wiley-VCH Verlag GmbH &amp; Co. KGaA.", "author" : [ { "dropping-particle" : "", "family" : "Eskin", "given" : "N. A Michael", "non-dropping-particle" : "", "parse-names" : false, "suffix" : "" } ], "container-title" : "European Journal of Lipid Science and Technology", "id" : "ITEM-1", "issue" : "7", "issued" : { "date-parts" : [ [ "2008" ] ] }, "page" : "651-654", "title" : "Borage and evening primrose oil", "type" : "article-journal", "volume" : "110" }, "uris" : [ "http://www.mendeley.com/documents/?uuid=4d9df140-17a6-437b-ba24-f285efd15a4e" ] } ], "mendeley" : { "formattedCitation" : "&lt;sup&gt;13&lt;/sup&gt;", "plainTextFormattedCitation" : "13", "previouslyFormattedCitation" : "&lt;sup&gt;13&lt;/sup&gt;" }, "properties" : { "noteIndex" : 0 }, "schema" : "https://github.com/citation-style-language/schema/raw/master/csl-citation.json" }</w:instrText>
      </w:r>
      <w:r w:rsidRPr="000F1EA3">
        <w:fldChar w:fldCharType="separate"/>
      </w:r>
      <w:r w:rsidR="00021D26" w:rsidRPr="000F1EA3">
        <w:rPr>
          <w:noProof/>
          <w:vertAlign w:val="superscript"/>
        </w:rPr>
        <w:t>13</w:t>
      </w:r>
      <w:r w:rsidRPr="000F1EA3">
        <w:fldChar w:fldCharType="end"/>
      </w:r>
      <w:r w:rsidRPr="000F1EA3">
        <w:t xml:space="preserve"> Evening primrose protein is rich in sulfur amino acids, but is poor in lysine.</w:t>
      </w:r>
      <w:r w:rsidRPr="000F1EA3">
        <w:fldChar w:fldCharType="begin" w:fldLock="1"/>
      </w:r>
      <w:r w:rsidR="00AB2F42" w:rsidRPr="000F1EA3">
        <w:instrText>ADDIN CSL_CITATION { "citationItems" : [ { "id" : "ITEM-1", "itemData" : { "author" : [ { "dropping-particle" : "", "family" : "Go\u0142\u0105bczak", "given" : "J", "non-dropping-particle" : "", "parse-names" : false, "suffix" : "" }, { "dropping-particle" : "", "family" : "Str\u0105kowska", "given" : "J", "non-dropping-particle" : "", "parse-names" : false, "suffix" : "" }, { "dropping-particle" : "", "family" : "Konstantynowicz", "given" : "A", "non-dropping-particle" : "", "parse-names" : false, "suffix" : "" } ], "container-title" : "Chem. Pap.", "id" : "ITEM-1", "issue" : "May", "issued" : { "date-parts" : [ [ "2005" ] ] }, "page" : "409-412", "title" : "Dynamics of evening primrose protein hydrolysis", "type" : "article-journal", "volume" : "59" }, "uris" : [ "http://www.mendeley.com/documents/?uuid=582c7287-9677-4d0a-acb2-66074d2ff765" ] } ], "mendeley" : { "formattedCitation" : "&lt;sup&gt;14&lt;/sup&gt;", "plainTextFormattedCitation" : "14", "previouslyFormattedCitation" : "&lt;sup&gt;14&lt;/sup&gt;" }, "properties" : { "noteIndex" : 0 }, "schema" : "https://github.com/citation-style-language/schema/raw/master/csl-citation.json" }</w:instrText>
      </w:r>
      <w:r w:rsidRPr="000F1EA3">
        <w:fldChar w:fldCharType="separate"/>
      </w:r>
      <w:r w:rsidR="00021D26" w:rsidRPr="000F1EA3">
        <w:rPr>
          <w:noProof/>
          <w:vertAlign w:val="superscript"/>
        </w:rPr>
        <w:t>14</w:t>
      </w:r>
      <w:r w:rsidRPr="000F1EA3">
        <w:fldChar w:fldCharType="end"/>
      </w:r>
      <w:r w:rsidRPr="000F1EA3">
        <w:rPr>
          <w:noProof/>
          <w:szCs w:val="24"/>
          <w:vertAlign w:val="superscript"/>
        </w:rPr>
        <w:t>–</w:t>
      </w:r>
      <w:r w:rsidRPr="000F1EA3">
        <w:fldChar w:fldCharType="begin" w:fldLock="1"/>
      </w:r>
      <w:r w:rsidR="00021D26" w:rsidRPr="000F1EA3">
        <w:instrText>ADDIN CSL_CITATION { "citationItems" : [ { "id" : "ITEM-1", "itemData" : { "DOI" : "10.1007/BF02677026", "ISSN" : "0003021X", "abstract" : "Evening primrose (Oenothera spp.) seed contains ca. 15% protein, 24% oil, and 43% cellulose plus lignin. The protein is unusually rich in sulphur-containing amino acids and in tryptophan. The component fatty acids of the oil are 65-80% linoleic and 7-14% of \u03b3-linolenic, but no \u03b1-linolenic acid. The 1.5-2% unsaponifiable matter has a composition very similar to that of cottonseed oil. The sterol fraction contains 90%\u03b2-sitosterol and the 4-methyl sterol fraction contains 48% citrostadienol;\u03b3-tocopherol dominates its class, with some \u03b1- but no other tocopherols. \u00a9 1984 the American Oil Chemists' Society.", "author" : [ { "dropping-particle" : "", "family" : "Hudson", "given" : "B. J F", "non-dropping-particle" : "", "parse-names" : false, "suffix" : "" } ], "container-title" : "Journal of the American Oil Chemists' Society", "id" : "ITEM-1", "issue" : "3", "issued" : { "date-parts" : [ [ "1984" ] ] }, "page" : "540-543", "title" : "Evening primrose (Oenothera spp.) oil and seed", "type" : "article-journal", "volume" : "61" }, "uris" : [ "http://www.mendeley.com/documents/?uuid=69df11d3-6ed7-4f7c-bed6-88bfcebe8b3a" ] } ], "mendeley" : { "formattedCitation" : "&lt;sup&gt;18&lt;/sup&gt;", "plainTextFormattedCitation" : "18", "previouslyFormattedCitation" : "&lt;sup&gt;18&lt;/sup&gt;" }, "properties" : { "noteIndex" : 0 }, "schema" : "https://github.com/citation-style-language/schema/raw/master/csl-citation.json" }</w:instrText>
      </w:r>
      <w:r w:rsidRPr="000F1EA3">
        <w:fldChar w:fldCharType="separate"/>
      </w:r>
      <w:r w:rsidR="00021D26" w:rsidRPr="000F1EA3">
        <w:rPr>
          <w:noProof/>
          <w:vertAlign w:val="superscript"/>
        </w:rPr>
        <w:t>18</w:t>
      </w:r>
      <w:r w:rsidRPr="000F1EA3">
        <w:fldChar w:fldCharType="end"/>
      </w:r>
      <w:r w:rsidRPr="000F1EA3">
        <w:t xml:space="preserve"> The use of evening primrose cake (EC) as animal feed is limited due to low values of protein degradability in the rumen and intestinal digestibility. The high level of tannins (12-14%) and dietary fiber (22-23%) in EC has a negative effect on its bioavailability.</w:t>
      </w:r>
      <w:r w:rsidRPr="000F1EA3">
        <w:fldChar w:fldCharType="begin" w:fldLock="1"/>
      </w:r>
      <w:r w:rsidR="00AB2F42" w:rsidRPr="000F1EA3">
        <w:instrText>ADDIN CSL_CITATION { "citationItems" : [ { "id" : "ITEM-1", "itemData" : { "author" : [ { "dropping-particle" : "", "family" : "Go\u0142\u0105bczak", "given" : "J", "non-dropping-particle" : "", "parse-names" : false, "suffix" : "" }, { "dropping-particle" : "", "family" : "Str\u0105kowska", "given" : "J", "non-dropping-particle" : "", "parse-names" : false, "suffix" : "" }, { "dropping-particle" : "", "family" : "Konstantynowicz", "given" : "A", "non-dropping-particle" : "", "parse-names" : false, "suffix" : "" } ], "container-title" : "Chem. Pap.", "id" : "ITEM-1", "issue" : "May", "issued" : { "date-parts" : [ [ "2005" ] ] }, "page" : "409-412", "title" : "Dynamics of evening primrose protein hydrolysis", "type" : "article-journal", "volume" : "59" }, "uris" : [ "http://www.mendeley.com/documents/?uuid=582c7287-9677-4d0a-acb2-66074d2ff765" ] } ], "mendeley" : { "formattedCitation" : "&lt;sup&gt;14&lt;/sup&gt;", "plainTextFormattedCitation" : "14", "previouslyFormattedCitation" : "&lt;sup&gt;14&lt;/sup&gt;" }, "properties" : { "noteIndex" : 0 }, "schema" : "https://github.com/citation-style-language/schema/raw/master/csl-citation.json" }</w:instrText>
      </w:r>
      <w:r w:rsidRPr="000F1EA3">
        <w:fldChar w:fldCharType="separate"/>
      </w:r>
      <w:r w:rsidR="00021D26" w:rsidRPr="000F1EA3">
        <w:rPr>
          <w:noProof/>
          <w:vertAlign w:val="superscript"/>
        </w:rPr>
        <w:t>14</w:t>
      </w:r>
      <w:r w:rsidRPr="000F1EA3">
        <w:fldChar w:fldCharType="end"/>
      </w:r>
      <w:r w:rsidRPr="000F1EA3">
        <w:rPr>
          <w:vertAlign w:val="superscript"/>
        </w:rPr>
        <w:t>,</w:t>
      </w:r>
      <w:r w:rsidRPr="000F1EA3">
        <w:fldChar w:fldCharType="begin" w:fldLock="1"/>
      </w:r>
      <w:r w:rsidR="00021D26" w:rsidRPr="000F1EA3">
        <w:instrText>ADDIN CSL_CITATION { "citationItems" : [ { "id" : "ITEM-1", "itemData" : { "DOI" : "10.22358/jafs/69209/1998", "ISSN" : "12301388", "abstract" : "The nutritive value of evening primrose (Oenothera paradoxa) oil cake was estimated from chemical composition and nutrient digestibility. The cake contained on average (per kg): 210 g crude protein, 0.55 UFL, 0.44 UFV, 110 PDI (PDIE - PDIN = -22 g), 92 g PDIA and 100 g of ether extract. The proportion of methionine and cystine in cake was relatively high (1.97 and 2.17 g/16 g N) but that of lysine was rather low (2.00 g/16 g N). Linoleic (C-18:2 n6)- 73.1%, gamma-linolenic (C-18:3 n6) - 9,0% and oleic (C-18:1 n9)- 6.4% acids dominated in total fatty acid content. Rumen degradability and intestinal digestion coefficients of protein of evening primrose oil cake or seeds were 0.39 and 0.65, respectively", "author" : [ { "dropping-particle" : "", "family" : "Stasiniewicz", "given" : "T", "non-dropping-particle" : "", "parse-names" : false, "suffix" : "" }, { "dropping-particle" : "", "family" : "Niwi\u0144ska", "given" : "B", "non-dropping-particle" : "", "parse-names" : false, "suffix" : "" }, { "dropping-particle" : "", "family" : "Strzetelski", "given" : "J A", "non-dropping-particle" : "", "parse-names" : false, "suffix" : "" }, { "dropping-particle" : "", "family" : "Kowalczyk", "given" : "J", "non-dropping-particle" : "", "parse-names" : false, "suffix" : "" }, { "dropping-particle" : "", "family" : "Maciaszek", "given" : "K", "non-dropping-particle" : "", "parse-names" : false, "suffix" : "" }, { "dropping-particle" : "", "family" : "Bilik", "given" : "K", "non-dropping-particle" : "", "parse-names" : false, "suffix" : "" } ], "container-title" : "Journal Of Animal And Feed Sciences", "id" : "ITEM-1", "issue" : "2", "issued" : { "date-parts" : [ [ "1998" ] ] }, "page" : "187-195", "title" : "Nutritive value of evening primrose (Oenothera paradoxa) cake for ruminants", "type" : "article-journal", "volume" : "7" }, "uris" : [ "http://www.mendeley.com/documents/?uuid=9748181b-38c0-481d-a1ec-82c92b99570b" ] } ], "mendeley" : { "formattedCitation" : "&lt;sup&gt;16&lt;/sup&gt;", "plainTextFormattedCitation" : "16", "previouslyFormattedCitation" : "&lt;sup&gt;16&lt;/sup&gt;" }, "properties" : { "noteIndex" : 0 }, "schema" : "https://github.com/citation-style-language/schema/raw/master/csl-citation.json" }</w:instrText>
      </w:r>
      <w:r w:rsidRPr="000F1EA3">
        <w:fldChar w:fldCharType="separate"/>
      </w:r>
      <w:r w:rsidR="00021D26" w:rsidRPr="000F1EA3">
        <w:rPr>
          <w:noProof/>
          <w:vertAlign w:val="superscript"/>
        </w:rPr>
        <w:t>16</w:t>
      </w:r>
      <w:r w:rsidRPr="000F1EA3">
        <w:fldChar w:fldCharType="end"/>
      </w:r>
      <w:r w:rsidRPr="000F1EA3">
        <w:rPr>
          <w:vertAlign w:val="superscript"/>
        </w:rPr>
        <w:t>,</w:t>
      </w:r>
      <w:r w:rsidRPr="000F1EA3">
        <w:fldChar w:fldCharType="begin" w:fldLock="1"/>
      </w:r>
      <w:r w:rsidR="00021D26" w:rsidRPr="000F1EA3">
        <w:instrText>ADDIN CSL_CITATION { "citationItems" : [ { "id" : "ITEM-1", "itemData" : { "DOI" : "10.1002/jsfa.2740630318", "ISSN" : "10970010", "author" : [ { "dropping-particle" : "", "family" : "Hanczakowski", "given" : "Piotr", "non-dropping-particle" : "", "parse-names" : false, "suffix" : "" }, { "dropping-particle" : "", "family" : "Szymczyk", "given" : "Beata", "non-dropping-particle" : "", "parse-names" : false, "suffix" : "" }, { "dropping-particle" : "", "family" : "Wolski", "given" : "Tadeusz", "non-dropping-particle" : "", "parse-names" : false, "suffix" : "" } ], "container-title" : "Journal of the Science of Food and Agriculture", "id" : "ITEM-1", "issue" : "3", "issued" : { "date-parts" : [ [ "1993" ] ] }, "page" : "375-376", "title" : "The nutritive value of the residues remaining after oil extraction from seeds of evening primrose (Oenothera biennis L)", "type" : "article-journal", "volume" : "63" }, "uris" : [ "http://www.mendeley.com/documents/?uuid=e1ec34d5-056f-488c-b1bc-cf823233ec6b" ] } ], "mendeley" : { "formattedCitation" : "&lt;sup&gt;17&lt;/sup&gt;", "plainTextFormattedCitation" : "17", "previouslyFormattedCitation" : "&lt;sup&gt;17&lt;/sup&gt;" }, "properties" : { "noteIndex" : 0 }, "schema" : "https://github.com/citation-style-language/schema/raw/master/csl-citation.json" }</w:instrText>
      </w:r>
      <w:r w:rsidRPr="000F1EA3">
        <w:fldChar w:fldCharType="separate"/>
      </w:r>
      <w:r w:rsidR="00021D26" w:rsidRPr="000F1EA3">
        <w:rPr>
          <w:noProof/>
          <w:vertAlign w:val="superscript"/>
        </w:rPr>
        <w:t>17</w:t>
      </w:r>
      <w:r w:rsidRPr="000F1EA3">
        <w:fldChar w:fldCharType="end"/>
      </w:r>
      <w:r w:rsidRPr="000F1EA3">
        <w:t xml:space="preserve"> The chemical composition of rape and evening primrose seed and pressed cake is shown in Table </w:t>
      </w:r>
      <w:r w:rsidR="00D04D2F" w:rsidRPr="000F1EA3">
        <w:t>S</w:t>
      </w:r>
      <w:r w:rsidR="00044924" w:rsidRPr="000F1EA3">
        <w:t>1</w:t>
      </w:r>
      <w:r w:rsidRPr="000F1EA3">
        <w:t>.</w:t>
      </w:r>
    </w:p>
    <w:p w:rsidR="00B966E8" w:rsidRPr="000F1EA3" w:rsidRDefault="00B966E8" w:rsidP="00B966E8">
      <w:pPr>
        <w:pStyle w:val="TAMainText"/>
        <w:rPr>
          <w:rStyle w:val="hps"/>
        </w:rPr>
      </w:pPr>
      <w:r w:rsidRPr="000F1EA3">
        <w:rPr>
          <w:rStyle w:val="hps"/>
        </w:rPr>
        <w:t>Deep Eutectic Solvents (DESs) have been applied as extraction solvents for flavonoids,</w:t>
      </w:r>
      <w:r w:rsidRPr="000F1EA3">
        <w:rPr>
          <w:rStyle w:val="hps"/>
        </w:rPr>
        <w:fldChar w:fldCharType="begin" w:fldLock="1"/>
      </w:r>
      <w:r w:rsidR="00021D26" w:rsidRPr="000F1EA3">
        <w:rPr>
          <w:rStyle w:val="hps"/>
        </w:rPr>
        <w:instrText>ADDIN CSL_CITATION { "citationItems" : [ { "id" : "ITEM-1", "itemData" : { "DOI" : "10.1039/C4GC01556H", "ISBN" : "1463-9262", "ISSN" : "1463-9262", "abstract" : "&lt;p&gt;Green and efficient extraction of natural products from biomass is considered an important area of interest in the pharmaceutical and biochemical industries.&lt;/p&gt;", "author" : [ { "dropping-particle" : "", "family" : "Nam", "given" : "Min Woo", "non-dropping-particle" : "", "parse-names" : false, "suffix" : "" }, { "dropping-particle" : "", "family" : "Zhao", "given" : "Jing", "non-dropping-particle" : "", "parse-names" : false, "suffix" : "" }, { "dropping-particle" : "", "family" : "Lee", "given" : "Min Sang", "non-dropping-particle" : "", "parse-names" : false, "suffix" : "" }, { "dropping-particle" : "", "family" : "Jeong", "given" : "Ji Hoon", "non-dropping-particle" : "", "parse-names" : false, "suffix" : "" }, { "dropping-particle" : "", "family" : "Lee", "given" : "Jeongmi", "non-dropping-particle" : "", "parse-names" : false, "suffix" : "" } ], "container-title" : "Green Chem.", "id" : "ITEM-1", "issue" : "3", "issued" : { "date-parts" : [ [ "2015" ] ] }, "page" : "1718-1727", "publisher" : "Royal Society of Chemistry", "title" : "Enhanced extraction of bioactive natural products using tailor-made deep eutectic solvents: application to flavonoid extraction from Flos sophorae", "type" : "article-journal", "volume" : "17" }, "uris" : [ "http://www.mendeley.com/documents/?uuid=adddbda9-49b6-4088-97fc-d27dc92a0ede" ] } ], "mendeley" : { "formattedCitation" : "&lt;sup&gt;19&lt;/sup&gt;", "plainTextFormattedCitation" : "19", "previouslyFormattedCitation" : "&lt;sup&gt;19&lt;/sup&gt;"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19</w:t>
      </w:r>
      <w:r w:rsidRPr="000F1EA3">
        <w:rPr>
          <w:rStyle w:val="hps"/>
        </w:rPr>
        <w:fldChar w:fldCharType="end"/>
      </w:r>
      <w:r w:rsidRPr="000F1EA3">
        <w:rPr>
          <w:rStyle w:val="hps"/>
          <w:vertAlign w:val="superscript"/>
        </w:rPr>
        <w:t>,</w:t>
      </w:r>
      <w:r w:rsidRPr="000F1EA3">
        <w:rPr>
          <w:rStyle w:val="hps"/>
        </w:rPr>
        <w:fldChar w:fldCharType="begin" w:fldLock="1"/>
      </w:r>
      <w:r w:rsidR="00021D26" w:rsidRPr="000F1EA3">
        <w:rPr>
          <w:rStyle w:val="hps"/>
        </w:rPr>
        <w:instrText>ADDIN CSL_CITATION { "citationItems" : [ { "id" : "ITEM-1", "itemData" : { "DOI" : "10.1016/j.jpba.2016.11.049", "ISSN" : "1873264X", "abstract" : "Deep eutectic solvents (DESs) are emerging as alternatives to conventional ionic liquids and organic solvents due to their unique advantages. In the present study, the tuneability of DESs as tailor-made solvents to efficiently extract polar and non-polar bioactive compounds from Platycladi Cacumen was detailedly investigated. Totally 12 types of choline chloride-, betaine-, and l-proline-based DESs were synthesized for initial screening, and extraction conditions was optimized by single-factor experiment. Experiments with different DESs and principal components analysis demonstrated that the extractability of both flavonoid glycosides and aglycones was greater with certain designed DESs than conventional solvents. In addition, the water content in DESs led to significantly different extraction yields of flavonoid compounds. The target compounds were recovered from DESs by macroporous resin LX-38 with a satisfactory yield between 77.44% and 98.92%. The knowledge acquired in this study could contribute to further DES application in extraction of bioactive compounds from natural sources.", "author" : [ { "dropping-particle" : "", "family" : "Zhuang", "given" : "Bo", "non-dropping-particle" : "", "parse-names" : false, "suffix" : "" }, { "dropping-particle" : "", "family" : "Dou", "given" : "Li Li", "non-dropping-particle" : "", "parse-names" : false, "suffix" : "" }, { "dropping-particle" : "", "family" : "Li", "given" : "Ping", "non-dropping-particle" : "", "parse-names" : false, "suffix" : "" }, { "dropping-particle" : "", "family" : "Liu", "given" : "E. Hu", "non-dropping-particle" : "", "parse-names" : false, "suffix" : "" } ], "container-title" : "Journal of Pharmaceutical and Biomedical Analysis", "id" : "ITEM-1", "issued" : { "date-parts" : [ [ "2017" ] ] }, "page" : "214-219", "title" : "Deep eutectic solvents as green media for extraction of flavonoid glycosides and aglycones from Platycladi Cacumen", "type" : "article-journal", "volume" : "134" }, "uris" : [ "http://www.mendeley.com/documents/?uuid=3380f48f-4deb-492f-a796-8c66fd2eb271" ] } ], "mendeley" : { "formattedCitation" : "&lt;sup&gt;20&lt;/sup&gt;", "plainTextFormattedCitation" : "20", "previouslyFormattedCitation" : "&lt;sup&gt;20&lt;/sup&gt;"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20</w:t>
      </w:r>
      <w:r w:rsidRPr="000F1EA3">
        <w:rPr>
          <w:rStyle w:val="hps"/>
        </w:rPr>
        <w:fldChar w:fldCharType="end"/>
      </w:r>
      <w:r w:rsidRPr="000F1EA3">
        <w:rPr>
          <w:rStyle w:val="hps"/>
        </w:rPr>
        <w:t xml:space="preserve"> phenolic acids,</w:t>
      </w:r>
      <w:r w:rsidRPr="000F1EA3">
        <w:rPr>
          <w:rStyle w:val="hps"/>
        </w:rPr>
        <w:fldChar w:fldCharType="begin" w:fldLock="1"/>
      </w:r>
      <w:r w:rsidR="00AB2F42" w:rsidRPr="000F1EA3">
        <w:rPr>
          <w:rStyle w:val="hps"/>
        </w:rPr>
        <w:instrText>ADDIN CSL_CITATION { "citationItems" : [ { "id" : "ITEM-1", "itemData" : { "DOI" : "10.1080/00032719.2013.874016", "ISBN" : "0003-2719", "author" : [ { "dropping-particle" : "", "family" : "Park", "given" : "Ha Eun", "non-dropping-particle" : "", "parse-names" : false, "suffix" : "" }, { "dropping-particle" : "", "family" : "Tang", "given" : "Baokun", "non-dropping-particle" : "", "parse-names" : false, "suffix" : "" }, { "dropping-particle" : "", "family" : "Row", "given" : "Kyung Ho", "non-dropping-particle" : "", "parse-names" : false, "suffix" : "" } ], "container-title" : "Analytical Letters", "id" : "ITEM-1", "issue" : "9", "issued" : { "date-parts" : [ [ "2014" ] ] }, "page" : "1476-1484", "publisher" : "Taylor &amp; Francis", "title" : "Application of deep eutectic solvents as additives in ultrasonic extraction of two phenolic acids from Herba artemisiae scopariae", "type" : "article-journal", "volume" : "47" }, "uris" : [ "http://www.mendeley.com/documents/?uuid=dcf8f8ad-0d35-4fa9-a413-559dd57b0ef3" ] } ], "mendeley" : { "formattedCitation" : "&lt;sup&gt;21&lt;/sup&gt;", "plainTextFormattedCitation" : "21", "previouslyFormattedCitation" : "&lt;sup&gt;21&lt;/sup&gt;"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21</w:t>
      </w:r>
      <w:r w:rsidRPr="000F1EA3">
        <w:rPr>
          <w:rStyle w:val="hps"/>
        </w:rPr>
        <w:fldChar w:fldCharType="end"/>
      </w:r>
      <w:r w:rsidRPr="000F1EA3">
        <w:rPr>
          <w:noProof/>
          <w:szCs w:val="24"/>
          <w:vertAlign w:val="superscript"/>
        </w:rPr>
        <w:t>–</w:t>
      </w:r>
      <w:r w:rsidRPr="000F1EA3">
        <w:rPr>
          <w:rStyle w:val="hps"/>
        </w:rPr>
        <w:fldChar w:fldCharType="begin" w:fldLock="1"/>
      </w:r>
      <w:r w:rsidR="00AB2F42" w:rsidRPr="000F1EA3">
        <w:rPr>
          <w:rStyle w:val="hps"/>
        </w:rPr>
        <w:instrText>ADDIN CSL_CITATION { "citationItems" : [ { "id" : "ITEM-1", "itemData" : { "DOI" : "10.1016/j.talanta.2015.12.077", "ISSN" : "00399140", "abstract" : "A simple, inexpensive and sensitive ultrasonic-assisted liquid\u2013liquid microextraction method based on deep eutectic solvent (UALLME-DES) was used for the extraction of three phenolic acids (ferulic, caffeic and cinnamic) from vegetable oils. In a typical experiment, deep eutectic solvent as green extraction solvent was added to n-hexane (as a typical oil medium) containing target analytes. Subsequently, the extraction was accelerated by sonication. After the extraction, phase separation (DES rich phase/n-hexane phase) was performed by centrifugation. DES rich phase (lower phase) was withdrawn by a microsyringe and submitted to isocratic reverse-phase HPLC with UV detection. Under optimum conditions obtained by response surface methodology (RSM) and desirability function (DF), the method has good linear calibration ranges (between 1.30 and 1000 mg L\u00011 ), coefficients of determination (r 240.9949) and low limits of detection (between 0.39 and 0.63 mg L\u00011 ). This procedure was successfully applied to the determination of target analytes in olive, almond, sesame and cinnamon oil samples. The relative mean recoveries ranged from 94.7% to 104.6%.", "author" : [ { "dropping-particle" : "", "family" : "Khezeli", "given" : "Tahere", "non-dropping-particle" : "", "parse-names" : false, "suffix" : "" }, { "dropping-particle" : "", "family" : "Daneshfar", "given" : "Ali", "non-dropping-particle" : "", "parse-names" : false, "suffix" : "" }, { "dropping-particle" : "", "family" : "Sahraei", "given" : "Reza", "non-dropping-particle" : "", "parse-names" : false, "suffix" : "" } ], "container-title" : "Talanta", "id" : "ITEM-1", "issued" : { "date-parts" : [ [ "2016" ] ] }, "page" : "577-585", "publisher" : "Elsevier", "title" : "A green ultrasonic-assisted liquid\u2013liquid microextraction based on deep eutectic solvent for the HPLC-UV determination of ferulic, caffeic and cinnamic acid from olive, almond, sesame and cinnamon oil", "type" : "article-journal", "volume" : "150" }, "uris" : [ "http://www.mendeley.com/documents/?uuid=c67966ff-e1f4-4dfb-b884-fe79c899c429" ] } ], "mendeley" : { "formattedCitation" : "&lt;sup&gt;23&lt;/sup&gt;", "plainTextFormattedCitation" : "23", "previouslyFormattedCitation" : "&lt;sup&gt;23&lt;/sup&gt;"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23</w:t>
      </w:r>
      <w:r w:rsidRPr="000F1EA3">
        <w:rPr>
          <w:rStyle w:val="hps"/>
        </w:rPr>
        <w:fldChar w:fldCharType="end"/>
      </w:r>
      <w:r w:rsidRPr="000F1EA3">
        <w:rPr>
          <w:rStyle w:val="hps"/>
        </w:rPr>
        <w:t xml:space="preserve"> tocols,</w:t>
      </w:r>
      <w:r w:rsidRPr="000F1EA3">
        <w:rPr>
          <w:rStyle w:val="hps"/>
        </w:rPr>
        <w:fldChar w:fldCharType="begin" w:fldLock="1"/>
      </w:r>
      <w:r w:rsidR="00AB2F42" w:rsidRPr="000F1EA3">
        <w:rPr>
          <w:rStyle w:val="hps"/>
        </w:rPr>
        <w:instrText>ADDIN CSL_CITATION { "citationItems" : [ { "id" : "ITEM-1", "itemData" : { "DOI" : "10.1007/s11746-015-2720-6", "ISSN" : "0003-021X", "author" : [ { "dropping-particle" : "", "family" : "Abdul Hadi", "given" : "Nu\u2019man", "non-dropping-particle" : "", "parse-names" : false, "suffix" : "" }, { "dropping-particle" : "", "family" : "Ng", "given" : "Mei Han", "non-dropping-particle" : "", "parse-names" : false, "suffix" : "" }, { "dropping-particle" : "", "family" : "Choo", "given" : "Yuen May", "non-dropping-particle" : "", "parse-names" : false, "suffix" : "" }, { "dropping-particle" : "", "family" : "Hashim", "given" : "Mohd Ali", "non-dropping-particle" : "", "parse-names" : false, "suffix" : "" }, { "dropping-particle" : "", "family" : "Jayakumar", "given" : "Natesan Subramanian", "non-dropping-particle" : "", "parse-names" : false, "suffix" : "" } ], "container-title" : "Journal of the American Oil Chemists' Society", "id" : "ITEM-1", "issued" : { "date-parts" : [ [ "2015" ] ] }, "page" : "1709\u20131716", "publisher" : "Springer Berlin Heidelberg", "title" : "Performance of choline-based deep eutectic solvents in the extraction of tocols from crude palm oil", "type" : "article-journal", "volume" : "92" }, "uris" : [ "http://www.mendeley.com/documents/?uuid=bdf2615f-d908-4a7e-b59b-23772fcbbbe8" ] } ], "mendeley" : { "formattedCitation" : "&lt;sup&gt;24&lt;/sup&gt;", "plainTextFormattedCitation" : "24", "previouslyFormattedCitation" : "&lt;sup&gt;24&lt;/sup&gt;"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24</w:t>
      </w:r>
      <w:r w:rsidRPr="000F1EA3">
        <w:rPr>
          <w:rStyle w:val="hps"/>
        </w:rPr>
        <w:fldChar w:fldCharType="end"/>
      </w:r>
      <w:r w:rsidRPr="000F1EA3">
        <w:rPr>
          <w:rStyle w:val="hps"/>
        </w:rPr>
        <w:t xml:space="preserve"> alkaloids,</w:t>
      </w:r>
      <w:r w:rsidRPr="000F1EA3">
        <w:rPr>
          <w:rStyle w:val="hps"/>
        </w:rPr>
        <w:fldChar w:fldCharType="begin" w:fldLock="1"/>
      </w:r>
      <w:r w:rsidR="00AB2F42" w:rsidRPr="000F1EA3">
        <w:rPr>
          <w:rStyle w:val="hps"/>
        </w:rPr>
        <w:instrText>ADDIN CSL_CITATION { "citationItems" : [ { "id" : "ITEM-1", "itemData" : { "DOI" : "10.1021/acssuschemeng.6b00091", "ISSN" : "2168-0485", "abstract" : "Deep eutectic solvents (DESs) are emerging as green and sustainable solvents for efficient extraction of bioactive compounds or drugs. This work aimed to comprehensively evaluate the potential and effectiveness of DESs for extraction of different types of natural compounds from biomass. Five Chinese herbal medicines including Berberidis Radix, Epimedii Folium, Notoginseng Radix et Rhizoma, Rhei Rhizoma et Radix, and Salviae Miltiorrhizae Radix et Rhizoma were selected to assess the efficiency of DESs on extraction of alkaloids, flavonoids, saponins, anthraquinones, and phenolic acids, respectively. Totally 43 types of choline chloride-, betaine-, and L-proline-based DESs with different polarity, viscosity, composition, and solubilization abilities were tailored to test their extraction efficiency, and the operation conditions were statistically optimized using response surface methodology to produce the most efficient process. In this work, DES solvents were first introduced to extract alkaloids and anthraquinones. The results indicated that most prepared DESs proved to be efficient solvents for extraction of alkaloids, but lower extractability for anthraquinones. The extraction capacity of DES may be correlated with their physical\u2212chemical properties, including H-bonding interactions, polarity, viscosity, and pH. This study demonstrated that DESs were suitable green extraction solvents for selectively and efficiently extracting bioactive compounds from biomaterials", "author" : [ { "dropping-particle" : "", "family" : "Duan", "given" : "Li", "non-dropping-particle" : "", "parse-names" : false, "suffix" : "" }, { "dropping-particle" : "", "family" : "Dou", "given" : "Li-Li", "non-dropping-particle" : "", "parse-names" : false, "suffix" : "" }, { "dropping-particle" : "", "family" : "Guo", "given" : "Long", "non-dropping-particle" : "", "parse-names" : false, "suffix" : "" }, { "dropping-particle" : "", "family" : "Li", "given" : "Ping", "non-dropping-particle" : "", "parse-names" : false, "suffix" : "" }, { "dropping-particle" : "", "family" : "Liu", "given" : "E-Hu", "non-dropping-particle" : "", "parse-names" : false, "suffix" : "" } ], "container-title" : "ACS Sustainable Chemistry &amp; Engineering", "id" : "ITEM-1", "issue" : "4", "issued" : { "date-parts" : [ [ "2016" ] ] }, "page" : "2405-2411", "title" : "Comprehensive evaluation of deep eutectic solvents in extraction of bioactive natural products", "type" : "article-journal", "volume" : "4" }, "uris" : [ "http://www.mendeley.com/documents/?uuid=983f4736-714d-4bc6-b7a2-cd3b5e0954cf" ] } ], "mendeley" : { "formattedCitation" : "&lt;sup&gt;25&lt;/sup&gt;", "plainTextFormattedCitation" : "25", "previouslyFormattedCitation" : "&lt;sup&gt;25&lt;/sup&gt;"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25</w:t>
      </w:r>
      <w:r w:rsidRPr="000F1EA3">
        <w:rPr>
          <w:rStyle w:val="hps"/>
        </w:rPr>
        <w:fldChar w:fldCharType="end"/>
      </w:r>
      <w:r w:rsidRPr="000F1EA3">
        <w:rPr>
          <w:rStyle w:val="hps"/>
        </w:rPr>
        <w:t xml:space="preserve"> anthocyanins</w:t>
      </w:r>
      <w:r w:rsidRPr="000F1EA3">
        <w:rPr>
          <w:rStyle w:val="hps"/>
        </w:rPr>
        <w:fldChar w:fldCharType="begin" w:fldLock="1"/>
      </w:r>
      <w:r w:rsidR="00021D26" w:rsidRPr="000F1EA3">
        <w:rPr>
          <w:rStyle w:val="hps"/>
        </w:rPr>
        <w:instrText>ADDIN CSL_CITATION { "citationItems" : [ { "id" : "ITEM-1", "itemData" : { "author" : [ { "dropping-particle" : "", "family" : "Bosiljkov", "given" : "Tomislav", "non-dropping-particle" : "", "parse-names" : false, "suffix" : "" }, { "dropping-particle" : "", "family" : "Dujmi", "given" : "Filip", "non-dropping-particle" : "", "parse-names" : false, "suffix" : "" } ], "container-title" : "Food and Bioproducts Processing", "id" : "ITEM-1", "issued" : { "date-parts" : [ [ "2017" ] ] }, "page" : "195-203", "title" : "Natural deep eutectic solvents and ultrasound-assisted extraction : Green approaches for extraction of wine lees anthocyanins", "type" : "article-journal", "volume" : "102" }, "uris" : [ "http://www.mendeley.com/documents/?uuid=42924e83-08d6-4559-aeef-ef7922c54695" ] } ], "mendeley" : { "formattedCitation" : "&lt;sup&gt;26&lt;/sup&gt;", "plainTextFormattedCitation" : "26", "previouslyFormattedCitation" : "&lt;sup&gt;26&lt;/sup&gt;"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26</w:t>
      </w:r>
      <w:r w:rsidRPr="000F1EA3">
        <w:rPr>
          <w:rStyle w:val="hps"/>
        </w:rPr>
        <w:fldChar w:fldCharType="end"/>
      </w:r>
      <w:r w:rsidRPr="000F1EA3">
        <w:rPr>
          <w:rStyle w:val="hps"/>
        </w:rPr>
        <w:t xml:space="preserve"> and other bioactive compounds from plant materials.</w:t>
      </w:r>
      <w:r w:rsidRPr="000F1EA3">
        <w:rPr>
          <w:rStyle w:val="hps"/>
        </w:rPr>
        <w:fldChar w:fldCharType="begin" w:fldLock="1"/>
      </w:r>
      <w:r w:rsidR="00021D26" w:rsidRPr="000F1EA3">
        <w:rPr>
          <w:rStyle w:val="hps"/>
        </w:rPr>
        <w:instrText>ADDIN CSL_CITATION { "citationItems" : [ { "id" : "ITEM-1", "itemData" : { "DOI" : "10.1016/j.aca.2017.05.012", "ISSN" : "18734324", "abstract" : "With the rapid development of ionic liquid analogues, termed \u2018deep eutectic solvents\u2019 (DESs), and their application in a wide range of chemical and biochemical processes in the past decade, the extraction of bioactive compounds has attracted significant interest. Recently, numerous studies have explored the extraction of bioactive compounds using DESs from diverse groups of natural sources, including animal and plant sources. This review summarizes the-state-of-the-art effort dedicated to the application of DESs in the extraction of bioactive compounds. The aim of this review also was to introduce conventional and recently-developed extraction techniques, with emphasis on the use of DESs as potential extractants for various bioactive compounds, such as phenolic acid, flavonoids, tanshinone, keratin, tocols, terpenoids, carrageenans, xanthones, isoflavones, \u03b1-mangostin, genistin, apigenin, and others. In the near future, DESs are expected to be used extensively for the extraction of bioactive compounds from various sources.", "author" : [ { "dropping-particle" : "", "family" : "Zainal-Abidin", "given" : "Mohamad Hamdi", "non-dropping-particle" : "", "parse-names" : false, "suffix" : "" }, { "dropping-particle" : "", "family" : "Hayyan", "given" : "Maan", "non-dropping-particle" : "", "parse-names" : false, "suffix" : "" }, { "dropping-particle" : "", "family" : "Hayyan", "given" : "Adeeb", "non-dropping-particle" : "", "parse-names" : false, "suffix" : "" }, { "dropping-particle" : "", "family" : "Jayakumar", "given" : "Natesan Subramanian", "non-dropping-particle" : "", "parse-names" : false, "suffix" : "" } ], "container-title" : "Analytica Chimica Acta", "id" : "ITEM-1", "issued" : { "date-parts" : [ [ "2017" ] ] }, "page" : "1-23", "publisher" : "Elsevier Ltd", "title" : "New horizons in the extraction of bioactive compounds using deep eutectic solvents: A review", "type" : "article-journal", "volume" : "979" }, "uris" : [ "http://www.mendeley.com/documents/?uuid=74f667c6-869c-4bda-ae5c-cb7b639147ed" ] } ], "mendeley" : { "formattedCitation" : "&lt;sup&gt;27&lt;/sup&gt;", "plainTextFormattedCitation" : "27", "previouslyFormattedCitation" : "&lt;sup&gt;27&lt;/sup&gt;"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27</w:t>
      </w:r>
      <w:r w:rsidRPr="000F1EA3">
        <w:rPr>
          <w:rStyle w:val="hps"/>
        </w:rPr>
        <w:fldChar w:fldCharType="end"/>
      </w:r>
      <w:r w:rsidRPr="000F1EA3">
        <w:rPr>
          <w:rStyle w:val="hps"/>
        </w:rPr>
        <w:t xml:space="preserve"> Das </w:t>
      </w:r>
      <w:r w:rsidRPr="000F1EA3">
        <w:rPr>
          <w:rStyle w:val="hps"/>
          <w:i/>
        </w:rPr>
        <w:t>et al.</w:t>
      </w:r>
      <w:r w:rsidRPr="000F1EA3">
        <w:rPr>
          <w:rStyle w:val="hps"/>
        </w:rPr>
        <w:t xml:space="preserve"> (2016) reported the selective extraction of </w:t>
      </w:r>
      <w:r w:rsidRPr="000F1EA3">
        <w:rPr>
          <w:rStyle w:val="hps"/>
        </w:rPr>
        <w:sym w:font="Symbol" w:char="F06B"/>
      </w:r>
      <w:r w:rsidRPr="000F1EA3">
        <w:rPr>
          <w:rStyle w:val="hps"/>
        </w:rPr>
        <w:t>-carrageenan from seaweed using DES.</w:t>
      </w:r>
      <w:r w:rsidRPr="000F1EA3">
        <w:rPr>
          <w:rStyle w:val="hps"/>
        </w:rPr>
        <w:fldChar w:fldCharType="begin" w:fldLock="1"/>
      </w:r>
      <w:r w:rsidR="00021D26" w:rsidRPr="000F1EA3">
        <w:rPr>
          <w:rStyle w:val="hps"/>
        </w:rPr>
        <w:instrText>ADDIN CSL_CITATION { "citationItems" : [ { "id" : "ITEM-1", "itemData" : { "DOI" : "10.1016/j.carbpol.2015.09.114", "ISSN" : "01448617", "abstract" : "Three different deep eutectic solvents (DESs) prepared by the complexation of choline chloride with urea, ethylene glycol and glycerol along with their hydrated counterparts were used for the selective extraction of \u03ba-carrageenan from Kappaphycus alvarezii. Upon comparison of the quality of the polysaccharide with the one obtained using water as extraction media as well as the one extracted using widely practiced conventional method, it was found that, the physicochemical as well as rheological properties of \u03ba-carrageenan obtained using DESs as solvents was at par to the one obtained using conventional method and was superior in quality when compared to \u03ba-carrageenan obtained using water as solvent. Considering the tedious nature of the extraction method employed in conventional extraction process, the DESs can be considered as suitable alternative solvents for the facile extraction of the polysaccharide directly from the seaweed. However, among the hydrated and non-hydrated DESs, the hydrated ones were found to be more effective in comparison to their non-hydrated counterparts.", "author" : [ { "dropping-particle" : "", "family" : "Das", "given" : "Arun Kumar", "non-dropping-particle" : "", "parse-names" : false, "suffix" : "" }, { "dropping-particle" : "", "family" : "Sharma", "given" : "Mukesh", "non-dropping-particle" : "", "parse-names" : false, "suffix" : "" }, { "dropping-particle" : "", "family" : "Mondal", "given" : "Dibyendu", "non-dropping-particle" : "", "parse-names" : false, "suffix" : "" }, { "dropping-particle" : "", "family" : "Prasad", "given" : "Kamalesh", "non-dropping-particle" : "", "parse-names" : false, "suffix" : "" } ], "container-title" : "Carbohydrate Polymers", "id" : "ITEM-1", "issued" : { "date-parts" : [ [ "2016", "1" ] ] }, "page" : "930-935", "title" : "Deep eutectic solvents as efficient solvent system for the extraction of \u03ba-carrageenan from Kappaphycus alvarezii", "type" : "article-journal", "volume" : "136" }, "uris" : [ "http://www.mendeley.com/documents/?uuid=a5b25448-e8ad-47b6-8eaf-06c7d39d3090" ] } ], "mendeley" : { "formattedCitation" : "&lt;sup&gt;28&lt;/sup&gt;", "plainTextFormattedCitation" : "28", "previouslyFormattedCitation" : "&lt;sup&gt;28&lt;/sup&gt;"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28</w:t>
      </w:r>
      <w:r w:rsidRPr="000F1EA3">
        <w:rPr>
          <w:rStyle w:val="hps"/>
        </w:rPr>
        <w:fldChar w:fldCharType="end"/>
      </w:r>
      <w:r w:rsidRPr="000F1EA3">
        <w:rPr>
          <w:rStyle w:val="hps"/>
        </w:rPr>
        <w:t xml:space="preserve"> Recently, the extraction of proteins by aqueous two-phase system (ATPS) based on DES has been reported by several researchers.</w:t>
      </w:r>
      <w:r w:rsidRPr="000F1EA3">
        <w:rPr>
          <w:rStyle w:val="hps"/>
        </w:rPr>
        <w:fldChar w:fldCharType="begin" w:fldLock="1"/>
      </w:r>
      <w:r w:rsidR="00021D26" w:rsidRPr="000F1EA3">
        <w:rPr>
          <w:rStyle w:val="hps"/>
        </w:rPr>
        <w:instrText>ADDIN CSL_CITATION { "citationItems" : [ { "id" : "ITEM-1", "itemData" : { "DOI" : "10.1039/c3an02235h", "ISBN" : "0003-2654", "abstract" : "Four kinds of green deep eutectic solvent (DES) were synthesized, including choline chloride (ChCl)-urea, tetramethylammonium chloride (TMACl)-urea, tetrapropylammonium bromide (TPMBr)-urea and ChCl-methylurea. An aqueous two-phase system (ATPS) based ChCl-urea DES was studied for the first time for the extraction of bovine serum albumin (BSA). Single factor experiments proved that the extraction efficiency of BSA was influenced by the mass of the DES, concentration of K2HPO4 solution, separation time and extraction temperature. The optimum conditions were determined through an orthogonal experiment with the four factors described above. The results showed that under the optimum conditions, the average extraction efficiency could reach up to 99.94%, 99.72%, 100.05% and 100.05% (each measured three times). The relative standard deviations (RSD) of extraction efficiencies in precision, repeatability and stability experiments were 0.5533% (n = 5), 0.8306% (n = 5) and 0.9829% (n = 5), respectively. UV-vis and FT-IR spectra confirmed that there were no chemical interactions between BSA and the DES in the extraction process, and the CD spectra proved that the conformation of BSA did not change after extraction. The conductivity, DLS and TEM were combined to investigate the microstructure of the top phase and the possible mechanism for the extraction. The results showed that hydrophobic interactions, hydrogen bonding interactions and the salting-out effect played important roles in the transfer process, and the aggregation and surrounding phenomenon were the main driving forces for the separation. All of these results proved that ionic liquid (IL)-based ATPSs could potentially be substituted with DES-based ATPSs to offer new possibilities in the extraction of proteins.", "author" : [ { "dropping-particle" : "", "family" : "Zeng", "given" : "Qun", "non-dropping-particle" : "", "parse-names" : false, "suffix" : "" }, { "dropping-particle" : "", "family" : "Wang", "given" : "Yuzhi", "non-dropping-particle" : "", "parse-names" : false, "suffix" : "" }, { "dropping-particle" : "", "family" : "Huang", "given" : "Yanhua", "non-dropping-particle" : "", "parse-names" : false, "suffix" : "" }, { "dropping-particle" : "", "family" : "Ding", "given" : "Xueqin", "non-dropping-particle" : "", "parse-names" : false, "suffix" : "" }, { "dropping-particle" : "", "family" : "Chen", "given" : "Jing", "non-dropping-particle" : "", "parse-names" : false, "suffix" : "" }, { "dropping-particle" : "", "family" : "Xu", "given" : "Kaijia", "non-dropping-particle" : "", "parse-names" : false, "suffix" : "" } ], "container-title" : "Analyst", "id" : "ITEM-1", "issue" : "10", "issued" : { "date-parts" : [ [ "2014" ] ] }, "page" : "2565-2573", "publisher" : "The Royal Society of Chemistry", "title" : "Deep eutectic solvents as novel extraction media for protein partitioning", "type" : "article-journal", "volume" : "139" }, "uris" : [ "http://www.mendeley.com/documents/?uuid=dcb782c9-dc96-4134-96dc-8f119c8fae36" ] }, { "id" : "ITEM-2", "itemData" : { "DOI" : "10.1016/j.aca.2015.01.026", "ISSN" : "18734324", "abstract" : "As a new type of green solvent, deep eutectic solvent (DES) has been applied for the extraction of proteins with an aqueous two-phase system (ATPS) in this work. Four kinds of choline chloride (ChCl)-based DESs were synthesized to extract bovine serum albumin (BSA), and ChCl-glycerol was selected as the suitable extraction solvent. Single factor experiments have been done to investigate the effects of the extraction process, including the amount of DES, the concentration of salt, the mass of protein, the shaking time, the temperature and PH value. Experimental results show 98.16% of the BSA could be extracted into the DES-rich phase in a single-step extraction under the optimized conditions. A high extraction efficiency of 94.36% was achieved, while the conditions were applied to the extraction of trypsin (Try). Precision, repeatability and stability experiments were studied and the relative standard deviations (RSD) of the extraction efficiency were 0.4246% (n=3), 1.6057% (n=3) and 1.6132% (n=3), respectively. Conformation of BSA was not changed during the extraction process according to the investigation of UV-vis spectra, FT-IR spectra and CD spectra of BSA. The conductivity, dynamic light scattering (DLS) and transmission electron microscopy (TEM) were used to explore the mechanism of the extraction. It turned out that the formation of DES-protein aggregates play a significant role in the separation process. All the results suggest that ChCl-based DES-ATPS are supposed to have the potential to provide new possibilities in the separation of proteins.", "author" : [ { "dropping-particle" : "", "family" : "Xu", "given" : "Kaijia", "non-dropping-particle" : "", "parse-names" : false, "suffix" : "" }, { "dropping-particle" : "", "family" : "Wang", "given" : "Yuzhi", "non-dropping-particle" : "", "parse-names" : false, "suffix" : "" }, { "dropping-particle" : "", "family" : "Huang", "given" : "Yanhua", "non-dropping-particle" : "", "parse-names" : false, "suffix" : "" }, { "dropping-particle" : "", "family" : "Li", "given" : "Na", "non-dropping-particle" : "", "parse-names" : false, "suffix" : "" }, { "dropping-particle" : "", "family" : "Wen", "given" : "Qian", "non-dropping-particle" : "", "parse-names" : false, "suffix" : "" } ], "container-title" : "Analytica chimica acta", "id" : "ITEM-2", "issued" : { "date-parts" : [ [ "2015" ] ] }, "page" : "9-20", "title" : "A green deep eutectic solvent-based aqueous two-phase system for protein extracting", "type" : "article-journal", "volume" : "864" }, "uris" : [ "http://www.mendeley.com/documents/?uuid=2c4bff38-c83f-4853-9d32-2bee34485ff4" ] } ], "mendeley" : { "formattedCitation" : "&lt;sup&gt;29,30&lt;/sup&gt;", "manualFormatting" : "29", "plainTextFormattedCitation" : "29,30", "previouslyFormattedCitation" : "&lt;sup&gt;29,30&lt;/sup&gt;" }, "properties" : { "noteIndex" : 0 }, "schema" : "https://github.com/citation-style-language/schema/raw/master/csl-citation.json" }</w:instrText>
      </w:r>
      <w:r w:rsidRPr="000F1EA3">
        <w:rPr>
          <w:rStyle w:val="hps"/>
        </w:rPr>
        <w:fldChar w:fldCharType="separate"/>
      </w:r>
      <w:r w:rsidRPr="000F1EA3">
        <w:rPr>
          <w:rStyle w:val="hps"/>
          <w:noProof/>
          <w:vertAlign w:val="superscript"/>
        </w:rPr>
        <w:t>29</w:t>
      </w:r>
      <w:r w:rsidRPr="000F1EA3">
        <w:rPr>
          <w:rStyle w:val="hps"/>
        </w:rPr>
        <w:fldChar w:fldCharType="end"/>
      </w:r>
      <w:r w:rsidRPr="000F1EA3">
        <w:rPr>
          <w:noProof/>
          <w:szCs w:val="24"/>
          <w:vertAlign w:val="superscript"/>
        </w:rPr>
        <w:t>–</w:t>
      </w:r>
      <w:r w:rsidRPr="000F1EA3">
        <w:rPr>
          <w:rStyle w:val="hps"/>
        </w:rPr>
        <w:fldChar w:fldCharType="begin" w:fldLock="1"/>
      </w:r>
      <w:r w:rsidR="00021D26" w:rsidRPr="000F1EA3">
        <w:rPr>
          <w:rStyle w:val="hps"/>
        </w:rPr>
        <w:instrText>ADDIN CSL_CITATION { "citationItems" : [ { "id" : "ITEM-1", "itemData" : { "DOI" : "10.1016/j.talanta.2016.01.042", "ISSN" : "00399140", "PMID" : "26992491", "abstract" : "Six kinds of new type of green betaine-based deep eutectic solvents (DESs) have been synthesized. Deep eutectic solvent aqueous two-phase systems (DES-ATPS) were established and successfully applied in the extraction of protein. Betaine-urea (Be-U) was selected as the suitable extractant. Single factor experiments were carried out to determine the optimum conditions of the extraction process, such as the salt concentration, the mass of DES, the separation time, the amount of protein, the temperature and the pH value. The extraction efficiency could achieve to 99.82% under the optimum conditions. Mixed sample and practical sample analysis were discussed. The back extraction experiment was implemented and the back extraction efficiency could reach to 32.66%. The precision experiment, repeatability experiment and stability experiment were investigated. UV-vis, FT-IR and circular dichroism (CD) spectra confirmed that the conformation of protein was not changed during the process of extraction. The mechanisms of extraction were researched by dynamic light scattering (DLS), the measurement of the conductivity and transmission electron microscopy (TEM). DES-protein aggregates and embraces phenomenon play considerable roles in the separation process. All of these results indicated that betaine-based DES-ATPS may provide a potential substitute new method for the separation of proteins.", "author" : [ { "dropping-particle" : "", "family" : "Li", "given" : "Na", "non-dropping-particle" : "", "parse-names" : false, "suffix" : "" }, { "dropping-particle" : "", "family" : "Wang", "given" : "Yuzhi", "non-dropping-particle" : "", "parse-names" : false, "suffix" : "" }, { "dropping-particle" : "", "family" : "Xu", "given" : "Kaijia", "non-dropping-particle" : "", "parse-names" : false, "suffix" : "" }, { "dropping-particle" : "", "family" : "Huang", "given" : "Yanhua", "non-dropping-particle" : "", "parse-names" : false, "suffix" : "" }, { "dropping-particle" : "", "family" : "Wen", "given" : "Qian", "non-dropping-particle" : "", "parse-names" : false, "suffix" : "" }, { "dropping-particle" : "", "family" : "Ding", "given" : "Xueqin", "non-dropping-particle" : "", "parse-names" : false, "suffix" : "" } ], "container-title" : "Talanta", "id" : "ITEM-1", "issued" : { "date-parts" : [ [ "2016" ] ] }, "page" : "23-32", "title" : "Development of green betaine-based deep eutectic solvent aqueous two-phase system for the extraction of protein", "type" : "article-journal", "volume" : "152" }, "uris" : [ "http://www.mendeley.com/documents/?uuid=3c52b245-aa1c-4b46-b952-f86b7f2b1605" ] } ], "mendeley" : { "formattedCitation" : "&lt;sup&gt;32&lt;/sup&gt;", "plainTextFormattedCitation" : "32", "previouslyFormattedCitation" : "&lt;sup&gt;32&lt;/sup&gt;"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32</w:t>
      </w:r>
      <w:r w:rsidRPr="000F1EA3">
        <w:rPr>
          <w:rStyle w:val="hps"/>
        </w:rPr>
        <w:fldChar w:fldCharType="end"/>
      </w:r>
      <w:r w:rsidRPr="000F1EA3">
        <w:rPr>
          <w:rStyle w:val="hps"/>
        </w:rPr>
        <w:t xml:space="preserve"> Choline chloride-based DESs were applied for selective extraction of collagen peptides from cod skins</w:t>
      </w:r>
      <w:r w:rsidRPr="000F1EA3">
        <w:rPr>
          <w:rStyle w:val="hps"/>
        </w:rPr>
        <w:fldChar w:fldCharType="begin" w:fldLock="1"/>
      </w:r>
      <w:r w:rsidR="008D3CF3" w:rsidRPr="000F1EA3">
        <w:rPr>
          <w:rStyle w:val="hps"/>
        </w:rPr>
        <w:instrText>ADDIN CSL_CITATION { "citationItems" : [ { "id" : "ITEM-1", "itemData" : { "DOI" : "10.1021/acssuschemeng.7b01439", "ISSN" : "21680485", "author" : [ { "dropping-particle" : "", "family" : "Bai", "given" : "Chenjie", "non-dropping-particle" : "", "parse-names" : false, "suffix" : "" }, { "dropping-particle" : "", "family" : "Wei", "given" : "Qifeng", "non-dropping-particle" : "", "parse-names" : false, "suffix" : "" }, { "dropping-particle" : "", "family" : "Ren", "given" : "Xiulian", "non-dropping-particle" : "", "parse-names" : false, "suffix" : "" } ], "container-title" : "ACS Sustainable Chemistry and Engineering", "id" : "ITEM-1", "issue" : "8", "issued" : { "date-parts" : [ [ "2017" ] ] }, "page" : "7220-7227", "title" : "Selective extraction of collagen peptides with high purity from cod skins by deep eutectic solvents", "type" : "article-journal", "volume" : "5" }, "uris" : [ "http://www.mendeley.com/documents/?uuid=d78610da-5440-4078-902d-6da3949e9845" ] } ], "mendeley" : { "formattedCitation" : "&lt;sup&gt;33&lt;/sup&gt;", "plainTextFormattedCitation" : "33", "previouslyFormattedCitation" : "&lt;sup&gt;33&lt;/sup&gt;"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33</w:t>
      </w:r>
      <w:r w:rsidRPr="000F1EA3">
        <w:rPr>
          <w:rStyle w:val="hps"/>
        </w:rPr>
        <w:fldChar w:fldCharType="end"/>
      </w:r>
      <w:r w:rsidRPr="000F1EA3">
        <w:rPr>
          <w:rStyle w:val="hps"/>
        </w:rPr>
        <w:t xml:space="preserve"> and for deconstructing wool for a ‘top down’ fabrication of keratin.</w:t>
      </w:r>
      <w:r w:rsidRPr="000F1EA3">
        <w:rPr>
          <w:rStyle w:val="hps"/>
        </w:rPr>
        <w:fldChar w:fldCharType="begin" w:fldLock="1"/>
      </w:r>
      <w:r w:rsidR="00021D26" w:rsidRPr="000F1EA3">
        <w:rPr>
          <w:rStyle w:val="hps"/>
        </w:rPr>
        <w:instrText>ADDIN CSL_CITATION { "citationItems" : [ { "id" : "ITEM-1", "itemData" : { "DOI" : "10.1039/C5RA26516A", "ISSN" : "2046-2069", "abstract" : "&lt;p&gt;Wool fibre is deconstructed in a facile \u2018top down\u2019 fabrication process into functional, nano-dimensional \u03b1-keratin chains using a benign choline chloride-urea deep eutectic solvent (DES) melt.&lt;/p&gt;", "author" : [ { "dropping-particle" : "", "family" : "Moore", "given" : "Katherine E.", "non-dropping-particle" : "", "parse-names" : false, "suffix" : "" }, { "dropping-particle" : "", "family" : "Mangos", "given" : "Daniel N.", "non-dropping-particle" : "", "parse-names" : false, "suffix" : "" }, { "dropping-particle" : "", "family" : "Slattery", "given" : "Ashley D.", "non-dropping-particle" : "", "parse-names" : false, "suffix" : "" }, { "dropping-particle" : "", "family" : "Raston", "given" : "Colin L.", "non-dropping-particle" : "", "parse-names" : false, "suffix" : "" }, { "dropping-particle" : "", "family" : "Boulos", "given" : "Ramiz A.", "non-dropping-particle" : "", "parse-names" : false, "suffix" : "" } ], "container-title" : "RSC Adv.", "id" : "ITEM-1", "issue" : "24", "issued" : { "date-parts" : [ [ "2016" ] ] }, "page" : "20095-20101", "publisher" : "Royal Society of Chemistry", "title" : "Wool deconstruction using a benign eutectic melt", "type" : "article-journal", "volume" : "6" }, "uris" : [ "http://www.mendeley.com/documents/?uuid=6d5461d7-6288-4708-a1c2-a8c0f34fec21" ] } ], "mendeley" : { "formattedCitation" : "&lt;sup&gt;34&lt;/sup&gt;", "plainTextFormattedCitation" : "34", "previouslyFormattedCitation" : "&lt;sup&gt;34&lt;/sup&gt;"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34</w:t>
      </w:r>
      <w:r w:rsidRPr="000F1EA3">
        <w:rPr>
          <w:rStyle w:val="hps"/>
        </w:rPr>
        <w:fldChar w:fldCharType="end"/>
      </w:r>
      <w:r w:rsidRPr="000F1EA3">
        <w:rPr>
          <w:rStyle w:val="hps"/>
        </w:rPr>
        <w:t xml:space="preserve"> Eutectic mixtures were also used for the delignification of different </w:t>
      </w:r>
      <w:proofErr w:type="spellStart"/>
      <w:r w:rsidRPr="000F1EA3">
        <w:rPr>
          <w:rStyle w:val="hps"/>
        </w:rPr>
        <w:t>lignocellulosic</w:t>
      </w:r>
      <w:proofErr w:type="spellEnd"/>
      <w:r w:rsidRPr="000F1EA3">
        <w:rPr>
          <w:rStyle w:val="hps"/>
        </w:rPr>
        <w:t xml:space="preserve"> biomass.</w:t>
      </w:r>
      <w:r w:rsidRPr="000F1EA3">
        <w:rPr>
          <w:rStyle w:val="hps"/>
        </w:rPr>
        <w:fldChar w:fldCharType="begin" w:fldLock="1"/>
      </w:r>
      <w:r w:rsidR="00021D26" w:rsidRPr="000F1EA3">
        <w:rPr>
          <w:rStyle w:val="hps"/>
        </w:rPr>
        <w:instrText>ADDIN CSL_CITATION { "citationItems" : [ { "id" : "ITEM-1", "itemData" : { "DOI" : "10.1039/c2gc35660k", "ISBN" : "1463-9262", "ISSN" : "1463-9262", "abstract" : "New natural and biorenewable solvents are prepared in this work consisting of high melting temperature starting materials that form low transition temperature mixtures (LTTMs). The physicochemical behaviour of these new solvents can be tailored by a judicious selection of the constituents' nature and ratio. Their suitability as solvents for lignocellulosic biomass processing is evaluated.", "author" : [ { "dropping-particle" : "", "family" : "Francisco", "given" : "Mar\u00eda", "non-dropping-particle" : "", "parse-names" : false, "suffix" : "" }, { "dropping-particle" : "", "family" : "Bruinhorst", "given" : "Adriaan", "non-dropping-particle" : "van den", "parse-names" : false, "suffix" : "" }, { "dropping-particle" : "", "family" : "Kroon", "given" : "Maaike C.", "non-dropping-particle" : "", "parse-names" : false, "suffix" : "" } ], "container-title" : "Green Chemistry", "id" : "ITEM-1", "issue" : "8", "issued" : { "date-parts" : [ [ "2012" ] ] }, "page" : "2153-2157", "title" : "New natural and renewable low transition temperature mixtures (LTTMs): screening as solvents for lignocellulosic biomass processing", "type" : "article-journal", "volume" : "14" }, "uris" : [ "http://www.mendeley.com/documents/?uuid=33465077-7486-4fed-989f-2ec2767e5922" ] } ], "mendeley" : { "formattedCitation" : "&lt;sup&gt;35&lt;/sup&gt;", "plainTextFormattedCitation" : "35", "previouslyFormattedCitation" : "&lt;sup&gt;35&lt;/sup&gt;"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35</w:t>
      </w:r>
      <w:r w:rsidRPr="000F1EA3">
        <w:rPr>
          <w:rStyle w:val="hps"/>
        </w:rPr>
        <w:fldChar w:fldCharType="end"/>
      </w:r>
      <w:r w:rsidRPr="000F1EA3">
        <w:rPr>
          <w:noProof/>
          <w:szCs w:val="24"/>
          <w:vertAlign w:val="superscript"/>
        </w:rPr>
        <w:t>–</w:t>
      </w:r>
      <w:r w:rsidRPr="000F1EA3">
        <w:rPr>
          <w:rStyle w:val="hps"/>
        </w:rPr>
        <w:fldChar w:fldCharType="begin" w:fldLock="1"/>
      </w:r>
      <w:r w:rsidR="008D3CF3" w:rsidRPr="000F1EA3">
        <w:rPr>
          <w:rStyle w:val="hps"/>
        </w:rPr>
        <w:instrText>ADDIN CSL_CITATION { "citationItems" : [ { "id" : "ITEM-1", "itemData" : { "DOI" : "10.1002/cssc.201601795", "ISBN" : "1864-564X", "ISSN" : "1864564X", "author" : [ { "dropping-particle" : "", "family" : "Liu", "given" : "Yongzhuang", "non-dropping-particle" : "", "parse-names" : false, "suffix" : "" }, { "dropping-particle" : "", "family" : "Chen", "given" : "Wenshuai", "non-dropping-particle" : "", "parse-names" : false, "suffix" : "" }, { "dropping-particle" : "", "family" : "Xia", "given" : "Qinqin", "non-dropping-particle" : "", "parse-names" : false, "suffix" : "" }, { "dropping-particle" : "", "family" : "Guo", "given" : "Bingtuo", "non-dropping-particle" : "", "parse-names" : false, "suffix" : "" }, { "dropping-particle" : "", "family" : "Wang", "given" : "Qingwen", "non-dropping-particle" : "", "parse-names" : false, "suffix" : "" }, { "dropping-particle" : "", "family" : "Liu", "given" : "Shouxin", "non-dropping-particle" : "", "parse-names" : false, "suffix" : "" }, { "dropping-particle" : "", "family" : "Liu", "given" : "Yixing", "non-dropping-particle" : "", "parse-names" : false, "suffix" : "" }, { "dropping-particle" : "", "family" : "Li", "given" : "Jian", "non-dropping-particle" : "", "parse-names" : false, "suffix" : "" }, { "dropping-particle" : "", "family" : "Yu", "given" : "Haipeng", "non-dropping-particle" : "", "parse-names" : false, "suffix" : "" } ], "container-title" : "ChemSusChem", "id" : "ITEM-1", "issue" : "8", "issued" : { "date-parts" : [ [ "2017" ] ] }, "page" : "1692-1700", "title" : "Efficient cleavage of lignin\u2013carbohydrate complexes and ultrafast extraction of lignin oligomers from wood biomass by microwave-assisted treatment with deep eutectic solvent", "type" : "article-journal", "volume" : "10" }, "uris" : [ "http://www.mendeley.com/documents/?uuid=ac25c2c1-6b66-4f70-939b-c7f35ba419af" ] } ], "mendeley" : { "formattedCitation" : "&lt;sup&gt;38&lt;/sup&gt;", "plainTextFormattedCitation" : "38", "previouslyFormattedCitation" : "&lt;sup&gt;38&lt;/sup&gt;" }, "properties" : { "noteIndex" : 0 }, "schema" : "https://github.com/citation-style-language/schema/raw/master/csl-citation.json" }</w:instrText>
      </w:r>
      <w:r w:rsidRPr="000F1EA3">
        <w:rPr>
          <w:rStyle w:val="hps"/>
        </w:rPr>
        <w:fldChar w:fldCharType="separate"/>
      </w:r>
      <w:r w:rsidR="00021D26" w:rsidRPr="000F1EA3">
        <w:rPr>
          <w:rStyle w:val="hps"/>
          <w:noProof/>
          <w:vertAlign w:val="superscript"/>
        </w:rPr>
        <w:t>38</w:t>
      </w:r>
      <w:r w:rsidRPr="000F1EA3">
        <w:rPr>
          <w:rStyle w:val="hps"/>
        </w:rPr>
        <w:fldChar w:fldCharType="end"/>
      </w:r>
    </w:p>
    <w:p w:rsidR="00724D6B" w:rsidRPr="000F1EA3" w:rsidRDefault="00B966E8" w:rsidP="00724D6B">
      <w:pPr>
        <w:pStyle w:val="TAMainText"/>
      </w:pPr>
      <w:r w:rsidRPr="000F1EA3">
        <w:t>Thus, the main aim of our research is to explore the effective use of by-products (oil cake and glycerin) obtained during the processing of oilseeds and the inclusion of choline chloride in this process – a commonly used and low-cost feed additive (Fig</w:t>
      </w:r>
      <w:r w:rsidR="00D76D68" w:rsidRPr="000F1EA3">
        <w:t>ure</w:t>
      </w:r>
      <w:r w:rsidRPr="000F1EA3">
        <w:t xml:space="preserve"> </w:t>
      </w:r>
      <w:r w:rsidR="00044924" w:rsidRPr="000F1EA3">
        <w:t>1</w:t>
      </w:r>
      <w:r w:rsidRPr="000F1EA3">
        <w:t xml:space="preserve">). </w:t>
      </w:r>
      <w:r w:rsidRPr="000F1EA3">
        <w:rPr>
          <w:rStyle w:val="hps"/>
        </w:rPr>
        <w:t xml:space="preserve">To the best of our knowledge, </w:t>
      </w:r>
      <w:proofErr w:type="spellStart"/>
      <w:r w:rsidRPr="000F1EA3">
        <w:rPr>
          <w:rStyle w:val="hps"/>
        </w:rPr>
        <w:t>Glyceline</w:t>
      </w:r>
      <w:proofErr w:type="spellEnd"/>
      <w:r w:rsidRPr="000F1EA3">
        <w:rPr>
          <w:rStyle w:val="hps"/>
        </w:rPr>
        <w:t xml:space="preserve"> pretreatment of the oil cakes </w:t>
      </w:r>
      <w:proofErr w:type="gramStart"/>
      <w:r w:rsidRPr="000F1EA3">
        <w:rPr>
          <w:rStyle w:val="hps"/>
        </w:rPr>
        <w:t>has not been studied</w:t>
      </w:r>
      <w:proofErr w:type="gramEnd"/>
      <w:r w:rsidRPr="000F1EA3">
        <w:rPr>
          <w:rStyle w:val="hps"/>
        </w:rPr>
        <w:t xml:space="preserve"> so far. </w:t>
      </w:r>
      <w:r w:rsidRPr="000F1EA3">
        <w:t xml:space="preserve">DES prepared from choline chloride and glycerol </w:t>
      </w:r>
      <w:proofErr w:type="gramStart"/>
      <w:r w:rsidRPr="000F1EA3">
        <w:t>will be used</w:t>
      </w:r>
      <w:proofErr w:type="gramEnd"/>
      <w:r w:rsidRPr="000F1EA3">
        <w:t xml:space="preserve"> for pre-treatment of cakes pressed at three different temperatures: 60, 100 and 140 </w:t>
      </w:r>
      <w:r w:rsidRPr="000F1EA3">
        <w:rPr>
          <w:rFonts w:cs="AdvOTaa6301a5.B"/>
        </w:rPr>
        <w:t>°</w:t>
      </w:r>
      <w:r w:rsidRPr="000F1EA3">
        <w:t>C (Fig</w:t>
      </w:r>
      <w:r w:rsidR="00FD6AAF" w:rsidRPr="000F1EA3">
        <w:t>ure</w:t>
      </w:r>
      <w:r w:rsidRPr="000F1EA3">
        <w:t xml:space="preserve"> </w:t>
      </w:r>
      <w:r w:rsidR="00044924" w:rsidRPr="000F1EA3">
        <w:t>2</w:t>
      </w:r>
      <w:r w:rsidRPr="000F1EA3">
        <w:t>). The motivation to use such DES components was their availability, low cost and that they are ‘generally recognized as safe’ (GRAS).</w:t>
      </w:r>
      <w:r w:rsidRPr="000F1EA3">
        <w:fldChar w:fldCharType="begin" w:fldLock="1"/>
      </w:r>
      <w:r w:rsidR="00021D26" w:rsidRPr="000F1EA3">
        <w:instrText>ADDIN CSL_CITATION { "citationItems" : [ { "id" : "ITEM-1", "itemData" : { "URL" : "https://www.ecfr.gov/cgi-bin/text-idx?SID=97868f80bf753caa25204bdb32667f83&amp;mc=true&amp;node=pt21.6.582&amp;rgn=div5", "accessed" : { "date-parts" : [ [ "2018", "7", "9" ] ] }, "id" : "ITEM-1", "issued" : { "date-parts" : [ [ "0" ] ] }, "title" : "Electronic Code of Federal Regulations", "type" : "webpage" }, "uris" : [ "http://www.mendeley.com/documents/?uuid=314d0bf6-7069-4d15-9a04-725e2fe02358" ] } ], "mendeley" : { "formattedCitation" : "&lt;sup&gt;39&lt;/sup&gt;", "plainTextFormattedCitation" : "39", "previouslyFormattedCitation" : "&lt;sup&gt;39&lt;/sup&gt;" }, "properties" : { "noteIndex" : 0 }, "schema" : "https://github.com/citation-style-language/schema/raw/master/csl-citation.json" }</w:instrText>
      </w:r>
      <w:r w:rsidRPr="000F1EA3">
        <w:fldChar w:fldCharType="separate"/>
      </w:r>
      <w:r w:rsidR="00021D26" w:rsidRPr="000F1EA3">
        <w:rPr>
          <w:noProof/>
          <w:vertAlign w:val="superscript"/>
        </w:rPr>
        <w:t>39</w:t>
      </w:r>
      <w:r w:rsidRPr="000F1EA3">
        <w:fldChar w:fldCharType="end"/>
      </w:r>
      <w:r w:rsidRPr="000F1EA3">
        <w:t xml:space="preserve"> Choline </w:t>
      </w:r>
      <w:r w:rsidRPr="000F1EA3">
        <w:lastRenderedPageBreak/>
        <w:t xml:space="preserve">chloride is the </w:t>
      </w:r>
      <w:r w:rsidR="00724D6B" w:rsidRPr="000F1EA3">
        <w:t xml:space="preserve">naturally occurring salt of choline, which is a precursor for acetylcholine, phospholipids, and </w:t>
      </w:r>
      <w:proofErr w:type="gramStart"/>
      <w:r w:rsidR="00724D6B" w:rsidRPr="000F1EA3">
        <w:t>is also</w:t>
      </w:r>
      <w:proofErr w:type="gramEnd"/>
      <w:r w:rsidR="00724D6B" w:rsidRPr="000F1EA3">
        <w:t xml:space="preserve"> an important source of labile methyl groups. Choline chloride is widely used as an animal feed supplement and according to the European Food Safety Authority (EFSA) belongs to the functional group "vitamins, pro-vitamins and chemically well-defined substances having similar effect".</w:t>
      </w:r>
      <w:r w:rsidR="00724D6B" w:rsidRPr="000F1EA3">
        <w:fldChar w:fldCharType="begin" w:fldLock="1"/>
      </w:r>
      <w:r w:rsidR="00021D26" w:rsidRPr="000F1EA3">
        <w:instrText>ADDIN CSL_CITATION { "citationItems" : [ { "id" : "ITEM-1", "itemData" : { "DOI" : "10.2903/j.efsa.2011.2353.", "abstract" : "Choline contributes to vital biological functions, including synthesis of phospholipids. It is a precursor of intracellular messenger molecules and of acetylcholine and a methyl group donor. The use levels of choline chloride supplementation to commercial feeds are considered safe for the target animals. However, the margin of safety compared to the use level in poultry and pigs is small. A maximum safe content in feed could not be established because of the limited and inconsistent dataset available and uncertainties arising from differences in diet composition. The simultaneous use of supplemental choline in feed and in water for drinking should be avoided. The use of choline chloride as a nutritional additive does not give rise to concern for consumers. The risk of choline chloride preparations causing inhalation toxicity of exposed workers is regarded as low, as the particles from the formulations applied are unlikely to reach the alveoli, and the exposure of the upper respiratory tract to choline chloride caused no adverse effect. Aqueous solutions of up to 70 % choline chloride are non-irritant to skin and eyes. There is no evidence to indicate that more concentrated and solid choline chloride formulations would be irritant, although in the absence of studies this possibility cannot be entirely excluded. The possibility that occupational exposure to choline chloride might cause skin sensitisation cannot be discounted. The use of choline chloride in animal nutrition is not expected to substantially increase the concentration in the environment; consequently, no risk for the environment is foreseen. Due to its established nutritional role in domestic animals, choline chloride is regarded as an effective source of choline.", "author" : [ { "dropping-particle" : "", "family" : "EFSA Panel on Additives and Products or Substances used in Animal Feed (FEEDAP)", "given" : "", "non-dropping-particle" : "", "parse-names" : false, "suffix" : "" } ], "container-title" : "EFSA Journal", "id" : "ITEM-1", "issue" : "9", "issued" : { "date-parts" : [ [ "2011" ] ] }, "page" : "2353", "title" : "Scientific Opinion on safety and efficacy of choline chloride as a feed additive for all animal species", "type" : "article-journal", "volume" : "9" }, "uris" : [ "http://www.mendeley.com/documents/?uuid=d6be9cf9-a4c2-472c-9e7b-810348bbb54f" ] } ], "mendeley" : { "formattedCitation" : "&lt;sup&gt;40&lt;/sup&gt;", "plainTextFormattedCitation" : "40", "previouslyFormattedCitation" : "&lt;sup&gt;40&lt;/sup&gt;" }, "properties" : { "noteIndex" : 0 }, "schema" : "https://github.com/citation-style-language/schema/raw/master/csl-citation.json" }</w:instrText>
      </w:r>
      <w:r w:rsidR="00724D6B" w:rsidRPr="000F1EA3">
        <w:fldChar w:fldCharType="separate"/>
      </w:r>
      <w:r w:rsidR="00021D26" w:rsidRPr="000F1EA3">
        <w:rPr>
          <w:noProof/>
          <w:vertAlign w:val="superscript"/>
        </w:rPr>
        <w:t>40</w:t>
      </w:r>
      <w:r w:rsidR="00724D6B" w:rsidRPr="000F1EA3">
        <w:fldChar w:fldCharType="end"/>
      </w:r>
      <w:r w:rsidR="00724D6B" w:rsidRPr="000F1EA3">
        <w:t xml:space="preserve"> Glycerol occurs naturally in lipids (</w:t>
      </w:r>
      <w:r w:rsidR="00724D6B" w:rsidRPr="000F1EA3">
        <w:rPr>
          <w:i/>
        </w:rPr>
        <w:t>e</w:t>
      </w:r>
      <w:r w:rsidR="00724D6B" w:rsidRPr="000F1EA3">
        <w:t>.</w:t>
      </w:r>
      <w:r w:rsidR="00724D6B" w:rsidRPr="000F1EA3">
        <w:rPr>
          <w:i/>
        </w:rPr>
        <w:t>g</w:t>
      </w:r>
      <w:r w:rsidR="00724D6B" w:rsidRPr="000F1EA3">
        <w:t>. triglycerides, phospholipids) and is an endogenous metabolite in mammals. It is used both for the production of cosmetics and as a food additive.</w:t>
      </w:r>
      <w:r w:rsidR="00724D6B" w:rsidRPr="000F1EA3">
        <w:fldChar w:fldCharType="begin" w:fldLock="1"/>
      </w:r>
      <w:r w:rsidR="008D3CF3" w:rsidRPr="000F1EA3">
        <w:instrText>ADDIN CSL_CITATION { "citationItems" : [ { "id" : "ITEM-1", "itemData" : { "DOI" : "10.2903/j.efsa.2017.4720", "ISBN" : "1831-4732", "ISSN" : "18314732", "abstract" : "The Panel on Food Additives and Nutrient Sources added to Food (ANS) provides a scientific opinion re-evaluating the safety of acacia gum (E 414) as a food additive. In the EU, acacia gum has not been formally evaluated by the Scientific Committee for Food (SCF), and therefore, no ADI has been allocated. However, it was accepted for use in weaning food (SCF, 1991). In 1999, the SCF considered \u2018that the use of acacia gum/gum arabic in coatings for nutrient preparations containing trace elements is acceptable provided carry-over levels in infant formulae, follow-on formulae or FSMP do not exceed 10 mg/kg\u2019. Acacia gum was evaluated by JECFA in 1982 and 1990 and the specifications were amended in 1998. Based on the lack of adverse effects in the available toxicity studies, an ADI \u2018not specified\u2019 was allocated. Following the conceptual framework for the risk assessment of certain food additives re-evaluated under Commission Regulation (EU) No 257/2010, the Panel considered that adequate exposure and toxicity data were available. Acacia gum is unlikely to be absorbed intact and is slightly fermented by intestinal microbiota. No adverse effects were reported in subchronic and carcinogenicity studies at the highest dose tested and there is no concern with respect to the genotoxicity. Oral daily intake of a large amount of acacia gum up to 30,000 mg acacia gum/person per day (approximately equivalent 430 mg acacia gum/kg bw per day) for up to 18 days was well tolerated in adults but some individuals experienced flatulence which was considered by the Panel as undesirable but not adverse effect. The Panel concluded that there is no need for a numerical ADI for acacia gum (E 414), and there is no safety concern for the general population at the refined exposure assessment of acacia gum (E 414) as a food additive.", "author" : [ { "dropping-particle" : "", "family" : "EFSA Panel on Food Additives and Nutrient Sources added to Food (ANS)", "given" : "", "non-dropping-particle" : "", "parse-names" : false, "suffix" : "" } ], "container-title" : "EFSA Journal", "id" : "ITEM-1", "issue" : "3", "issued" : { "date-parts" : [ [ "2017" ] ] }, "page" : "e04720", "title" : "Re-evaluation of glycerol (E 422) as a food additive", "type" : "article-journal", "volume" : "15" }, "uris" : [ "http://www.mendeley.com/documents/?uuid=05d14c31-8faf-41e1-a259-b281abdd6833" ] } ], "mendeley" : { "formattedCitation" : "&lt;sup&gt;41&lt;/sup&gt;", "plainTextFormattedCitation" : "41", "previouslyFormattedCitation" : "&lt;sup&gt;41&lt;/sup&gt;" }, "properties" : { "noteIndex" : 0 }, "schema" : "https://github.com/citation-style-language/schema/raw/master/csl-citation.json" }</w:instrText>
      </w:r>
      <w:r w:rsidR="00724D6B" w:rsidRPr="000F1EA3">
        <w:fldChar w:fldCharType="separate"/>
      </w:r>
      <w:r w:rsidR="00021D26" w:rsidRPr="000F1EA3">
        <w:rPr>
          <w:noProof/>
          <w:vertAlign w:val="superscript"/>
        </w:rPr>
        <w:t>41</w:t>
      </w:r>
      <w:r w:rsidR="00724D6B" w:rsidRPr="000F1EA3">
        <w:fldChar w:fldCharType="end"/>
      </w:r>
      <w:r w:rsidR="00724D6B" w:rsidRPr="000F1EA3">
        <w:t xml:space="preserve"> An important factor in the selection of glycerol as </w:t>
      </w:r>
      <w:r w:rsidR="00D76D68" w:rsidRPr="000F1EA3">
        <w:t>the hydrogen bond donor (</w:t>
      </w:r>
      <w:r w:rsidR="00724D6B" w:rsidRPr="000F1EA3">
        <w:t>HBD</w:t>
      </w:r>
      <w:r w:rsidR="00D76D68" w:rsidRPr="000F1EA3">
        <w:t>)</w:t>
      </w:r>
      <w:r w:rsidR="00724D6B" w:rsidRPr="000F1EA3">
        <w:t xml:space="preserve"> was the fact that it is a by-product (10%) of biodiesel production, which demand is constantly increasing.</w:t>
      </w:r>
      <w:r w:rsidR="00724D6B" w:rsidRPr="000F1EA3">
        <w:fldChar w:fldCharType="begin" w:fldLock="1"/>
      </w:r>
      <w:r w:rsidR="00021D26" w:rsidRPr="000F1EA3">
        <w:instrText>ADDIN CSL_CITATION { "citationItems" : [ { "id" : "ITEM-1", "itemData" : { "DOI" : "10.1002/ejlt.201400229", "ISBN" : "1438-7697", "ISSN" : "14389312", "PMID" : "22653682", "abstract" : "As a result of the booming biodiesel and oleochemicals manufacturing taking place worldwide since more than a decade, 2 million tonnes of glycerol consistently reach the market every year, even though after a decade of growth the total glycerol supply is expected to slightly decrease in 2014. Today the supply of glycerol is entirely independent of its demand, as there is as much glycerol as the amount of vegetable oils and animal fats are hydrolyzed to make oleochemicals, or transesterified to produce biodiesel. This unique situation has led to consistently low glycerol prices, which initiated both the market penetration of glycerol in countries where it was not used due to traditional high price, as well as new uses of glycerol as raw material for the production of value added chemicals. This article sheds light on the market of this uniquely versatile chemical whose number of applications is unique amid all existing chemicals.", "author" : [ { "dropping-particle" : "", "family" : "Ciriminna", "given" : "Rosaria", "non-dropping-particle" : "", "parse-names" : false, "suffix" : "" }, { "dropping-particle" : "Della", "family" : "Pina", "given" : "Cristina", "non-dropping-particle" : "", "parse-names" : false, "suffix" : "" }, { "dropping-particle" : "", "family" : "Rossi", "given" : "Michele", "non-dropping-particle" : "", "parse-names" : false, "suffix" : "" }, { "dropping-particle" : "", "family" : "Pagliaro", "given" : "Mario", "non-dropping-particle" : "", "parse-names" : false, "suffix" : "" } ], "container-title" : "European Journal of Lipid Science and Technology", "id" : "ITEM-1", "issue" : "10", "issued" : { "date-parts" : [ [ "2014" ] ] }, "page" : "1432-1439", "title" : "Understanding the glycerol market", "type" : "article-journal", "volume" : "116" }, "uris" : [ "http://www.mendeley.com/documents/?uuid=ff320100-e719-4502-9d45-12aa1c32a38d" ] } ], "mendeley" : { "formattedCitation" : "&lt;sup&gt;42&lt;/sup&gt;", "plainTextFormattedCitation" : "42", "previouslyFormattedCitation" : "&lt;sup&gt;42&lt;/sup&gt;" }, "properties" : { "noteIndex" : 0 }, "schema" : "https://github.com/citation-style-language/schema/raw/master/csl-citation.json" }</w:instrText>
      </w:r>
      <w:r w:rsidR="00724D6B" w:rsidRPr="000F1EA3">
        <w:fldChar w:fldCharType="separate"/>
      </w:r>
      <w:r w:rsidR="00021D26" w:rsidRPr="000F1EA3">
        <w:rPr>
          <w:noProof/>
          <w:vertAlign w:val="superscript"/>
        </w:rPr>
        <w:t>42</w:t>
      </w:r>
      <w:r w:rsidR="00724D6B" w:rsidRPr="000F1EA3">
        <w:fldChar w:fldCharType="end"/>
      </w:r>
    </w:p>
    <w:p w:rsidR="00CB05AA" w:rsidRPr="000F1EA3" w:rsidRDefault="00724D6B" w:rsidP="00724D6B">
      <w:pPr>
        <w:pStyle w:val="TAMainText"/>
      </w:pPr>
      <w:r w:rsidRPr="000F1EA3">
        <w:t>In the literature, several methods have been reported to recover the extracted compounds from DES, such as precipitation by addition of antisolvents,</w:t>
      </w:r>
      <w:r w:rsidRPr="000F1EA3">
        <w:fldChar w:fldCharType="begin" w:fldLock="1"/>
      </w:r>
      <w:r w:rsidR="00021D26" w:rsidRPr="000F1EA3">
        <w:instrText>ADDIN CSL_CITATION { "citationItems" : [ { "id" : "ITEM-1", "itemData" : { "DOI" : "10.1039/C4GC01556H", "ISBN" : "1463-9262", "ISSN" : "1463-9262", "abstract" : "&lt;p&gt;Green and efficient extraction of natural products from biomass is considered an important area of interest in the pharmaceutical and biochemical industries.&lt;/p&gt;", "author" : [ { "dropping-particle" : "", "family" : "Nam", "given" : "Min Woo", "non-dropping-particle" : "", "parse-names" : false, "suffix" : "" }, { "dropping-particle" : "", "family" : "Zhao", "given" : "Jing", "non-dropping-particle" : "", "parse-names" : false, "suffix" : "" }, { "dropping-particle" : "", "family" : "Lee", "given" : "Min Sang", "non-dropping-particle" : "", "parse-names" : false, "suffix" : "" }, { "dropping-particle" : "", "family" : "Jeong", "given" : "Ji Hoon", "non-dropping-particle" : "", "parse-names" : false, "suffix" : "" }, { "dropping-particle" : "", "family" : "Lee", "given" : "Jeongmi", "non-dropping-particle" : "", "parse-names" : false, "suffix" : "" } ], "container-title" : "Green Chem.", "id" : "ITEM-1", "issue" : "3", "issued" : { "date-parts" : [ [ "2015" ] ] }, "page" : "1718-1727", "publisher" : "Royal Society of Chemistry", "title" : "Enhanced extraction of bioactive natural products using tailor-made deep eutectic solvents: application to flavonoid extraction from Flos sophorae", "type" : "article-journal", "volume" : "17" }, "uris" : [ "http://www.mendeley.com/documents/?uuid=adddbda9-49b6-4088-97fc-d27dc92a0ede" ] } ], "mendeley" : { "formattedCitation" : "&lt;sup&gt;19&lt;/sup&gt;", "plainTextFormattedCitation" : "19", "previouslyFormattedCitation" : "&lt;sup&gt;19&lt;/sup&gt;" }, "properties" : { "noteIndex" : 0 }, "schema" : "https://github.com/citation-style-language/schema/raw/master/csl-citation.json" }</w:instrText>
      </w:r>
      <w:r w:rsidRPr="000F1EA3">
        <w:fldChar w:fldCharType="separate"/>
      </w:r>
      <w:r w:rsidR="00021D26" w:rsidRPr="000F1EA3">
        <w:rPr>
          <w:noProof/>
          <w:vertAlign w:val="superscript"/>
        </w:rPr>
        <w:t>19</w:t>
      </w:r>
      <w:r w:rsidRPr="000F1EA3">
        <w:fldChar w:fldCharType="end"/>
      </w:r>
      <w:r w:rsidRPr="000F1EA3">
        <w:rPr>
          <w:vertAlign w:val="superscript"/>
        </w:rPr>
        <w:t>,</w:t>
      </w:r>
      <w:r w:rsidRPr="000F1EA3">
        <w:fldChar w:fldCharType="begin" w:fldLock="1"/>
      </w:r>
      <w:r w:rsidR="008D3CF3" w:rsidRPr="000F1EA3">
        <w:instrText>ADDIN CSL_CITATION { "citationItems" : [ { "id" : "ITEM-1", "itemData" : { "DOI" : "10.1002/cssc.201601795", "ISBN" : "1864-564X", "ISSN" : "1864564X", "author" : [ { "dropping-particle" : "", "family" : "Liu", "given" : "Yongzhuang", "non-dropping-particle" : "", "parse-names" : false, "suffix" : "" }, { "dropping-particle" : "", "family" : "Chen", "given" : "Wenshuai", "non-dropping-particle" : "", "parse-names" : false, "suffix" : "" }, { "dropping-particle" : "", "family" : "Xia", "given" : "Qinqin", "non-dropping-particle" : "", "parse-names" : false, "suffix" : "" }, { "dropping-particle" : "", "family" : "Guo", "given" : "Bingtuo", "non-dropping-particle" : "", "parse-names" : false, "suffix" : "" }, { "dropping-particle" : "", "family" : "Wang", "given" : "Qingwen", "non-dropping-particle" : "", "parse-names" : false, "suffix" : "" }, { "dropping-particle" : "", "family" : "Liu", "given" : "Shouxin", "non-dropping-particle" : "", "parse-names" : false, "suffix" : "" }, { "dropping-particle" : "", "family" : "Liu", "given" : "Yixing", "non-dropping-particle" : "", "parse-names" : false, "suffix" : "" }, { "dropping-particle" : "", "family" : "Li", "given" : "Jian", "non-dropping-particle" : "", "parse-names" : false, "suffix" : "" }, { "dropping-particle" : "", "family" : "Yu", "given" : "Haipeng", "non-dropping-particle" : "", "parse-names" : false, "suffix" : "" } ], "container-title" : "ChemSusChem", "id" : "ITEM-1", "issue" : "8", "issued" : { "date-parts" : [ [ "2017" ] ] }, "page" : "1692-1700", "title" : "Efficient cleavage of lignin\u2013carbohydrate complexes and ultrafast extraction of lignin oligomers from wood biomass by microwave-assisted treatment with deep eutectic solvent", "type" : "article-journal", "volume" : "10" }, "uris" : [ "http://www.mendeley.com/documents/?uuid=ac25c2c1-6b66-4f70-939b-c7f35ba419af" ] } ], "mendeley" : { "formattedCitation" : "&lt;sup&gt;38&lt;/sup&gt;", "plainTextFormattedCitation" : "38", "previouslyFormattedCitation" : "&lt;sup&gt;38&lt;/sup&gt;" }, "properties" : { "noteIndex" : 0 }, "schema" : "https://github.com/citation-style-language/schema/raw/master/csl-citation.json" }</w:instrText>
      </w:r>
      <w:r w:rsidRPr="000F1EA3">
        <w:fldChar w:fldCharType="separate"/>
      </w:r>
      <w:r w:rsidR="00021D26" w:rsidRPr="000F1EA3">
        <w:rPr>
          <w:noProof/>
          <w:vertAlign w:val="superscript"/>
        </w:rPr>
        <w:t>38</w:t>
      </w:r>
      <w:r w:rsidRPr="000F1EA3">
        <w:fldChar w:fldCharType="end"/>
      </w:r>
      <w:r w:rsidRPr="000F1EA3">
        <w:rPr>
          <w:vertAlign w:val="superscript"/>
        </w:rPr>
        <w:t>,</w:t>
      </w:r>
      <w:r w:rsidRPr="000F1EA3">
        <w:fldChar w:fldCharType="begin" w:fldLock="1"/>
      </w:r>
      <w:r w:rsidR="00021D26" w:rsidRPr="000F1EA3">
        <w:instrText>ADDIN CSL_CITATION { "citationItems" : [ { "id" : "ITEM-1", "itemData" : { "DOI" : "10.1016/j.biortech.2017.11.066", "ISSN" : "18732976", "abstract" : "Deep eutectic solvents (DESs) have received increasing attention in recent years as designer solvents for bioprocessing. In this study, ultrafast microwave-assisted DES pretreatment was developed for lignocellulose fractionation. The pretreatment was conducted for 45 s with microwave irradiation at 800 W using a DES composed of choline chloride and lactic acid (ChCl: LA). The results indicated that such pretreatment was highly effective in removing lignin and xylan while retaining most of cellulose in the pretreated solids. The ultrafast fractionation increased the cellulose digestibility by 2\u20135 folds. Switchgrass gave a similar glucose yield to corn stover but experienced less cellulose loss during the pretreatment. Miscanthus was also substantially fractionated but showed lower digestibility than switchgrass and corn stover. Lignin was readily recoverable with relatively high purity from all the pretreatment liquor. Our study demonstrated an innovative ultrafast pretreatment process with superior effectiveness for biomass fractionation and cellulose digestibility improvement as well as lignin extraction.", "author" : [ { "dropping-particle" : "", "family" : "Chen", "given" : "Zhu", "non-dropping-particle" : "", "parse-names" : false, "suffix" : "" }, { "dropping-particle" : "", "family" : "Wan", "given" : "Caixia", "non-dropping-particle" : "", "parse-names" : false, "suffix" : "" } ], "container-title" : "Bioresource Technology", "id" : "ITEM-1", "issue" : "November 2017", "issued" : { "date-parts" : [ [ "2018" ] ] }, "page" : "532-537", "title" : "Ultrafast fractionation of lignocellulosic biomass by microwave-assisted deep eutectic solvent pretreatment", "type" : "article-journal", "volume" : "250" }, "uris" : [ "http://www.mendeley.com/documents/?uuid=19de558a-de42-4b0f-8131-3cdb1a2baff5" ] } ], "mendeley" : { "formattedCitation" : "&lt;sup&gt;43&lt;/sup&gt;", "plainTextFormattedCitation" : "43", "previouslyFormattedCitation" : "&lt;sup&gt;43&lt;/sup&gt;" }, "properties" : { "noteIndex" : 0 }, "schema" : "https://github.com/citation-style-language/schema/raw/master/csl-citation.json" }</w:instrText>
      </w:r>
      <w:r w:rsidRPr="000F1EA3">
        <w:fldChar w:fldCharType="separate"/>
      </w:r>
      <w:r w:rsidR="00021D26" w:rsidRPr="000F1EA3">
        <w:rPr>
          <w:noProof/>
          <w:vertAlign w:val="superscript"/>
        </w:rPr>
        <w:t>43</w:t>
      </w:r>
      <w:r w:rsidRPr="000F1EA3">
        <w:fldChar w:fldCharType="end"/>
      </w:r>
      <w:r w:rsidRPr="000F1EA3">
        <w:t xml:space="preserve"> solid-liquid extraction (SLE) using resin,</w:t>
      </w:r>
      <w:r w:rsidRPr="000F1EA3">
        <w:fldChar w:fldCharType="begin" w:fldLock="1"/>
      </w:r>
      <w:r w:rsidR="00021D26" w:rsidRPr="000F1EA3">
        <w:instrText>ADDIN CSL_CITATION { "citationItems" : [ { "id" : "ITEM-1", "itemData" : { "DOI" : "10.1016/j.jpba.2016.11.049", "ISSN" : "1873264X", "abstract" : "Deep eutectic solvents (DESs) are emerging as alternatives to conventional ionic liquids and organic solvents due to their unique advantages. In the present study, the tuneability of DESs as tailor-made solvents to efficiently extract polar and non-polar bioactive compounds from Platycladi Cacumen was detailedly investigated. Totally 12 types of choline chloride-, betaine-, and l-proline-based DESs were synthesized for initial screening, and extraction conditions was optimized by single-factor experiment. Experiments with different DESs and principal components analysis demonstrated that the extractability of both flavonoid glycosides and aglycones was greater with certain designed DESs than conventional solvents. In addition, the water content in DESs led to significantly different extraction yields of flavonoid compounds. The target compounds were recovered from DESs by macroporous resin LX-38 with a satisfactory yield between 77.44% and 98.92%. The knowledge acquired in this study could contribute to further DES application in extraction of bioactive compounds from natural sources.", "author" : [ { "dropping-particle" : "", "family" : "Zhuang", "given" : "Bo", "non-dropping-particle" : "", "parse-names" : false, "suffix" : "" }, { "dropping-particle" : "", "family" : "Dou", "given" : "Li Li", "non-dropping-particle" : "", "parse-names" : false, "suffix" : "" }, { "dropping-particle" : "", "family" : "Li", "given" : "Ping", "non-dropping-particle" : "", "parse-names" : false, "suffix" : "" }, { "dropping-particle" : "", "family" : "Liu", "given" : "E. Hu", "non-dropping-particle" : "", "parse-names" : false, "suffix" : "" } ], "container-title" : "Journal of Pharmaceutical and Biomedical Analysis", "id" : "ITEM-1", "issued" : { "date-parts" : [ [ "2017" ] ] }, "page" : "214-219", "title" : "Deep eutectic solvents as green media for extraction of flavonoid glycosides and aglycones from Platycladi Cacumen", "type" : "article-journal", "volume" : "134" }, "uris" : [ "http://www.mendeley.com/documents/?uuid=3380f48f-4deb-492f-a796-8c66fd2eb271" ] } ], "mendeley" : { "formattedCitation" : "&lt;sup&gt;20&lt;/sup&gt;", "plainTextFormattedCitation" : "20", "previouslyFormattedCitation" : "&lt;sup&gt;20&lt;/sup&gt;" }, "properties" : { "noteIndex" : 0 }, "schema" : "https://github.com/citation-style-language/schema/raw/master/csl-citation.json" }</w:instrText>
      </w:r>
      <w:r w:rsidRPr="000F1EA3">
        <w:fldChar w:fldCharType="separate"/>
      </w:r>
      <w:r w:rsidR="00021D26" w:rsidRPr="000F1EA3">
        <w:rPr>
          <w:noProof/>
          <w:vertAlign w:val="superscript"/>
        </w:rPr>
        <w:t>20</w:t>
      </w:r>
      <w:r w:rsidRPr="000F1EA3">
        <w:fldChar w:fldCharType="end"/>
      </w:r>
      <w:r w:rsidRPr="000F1EA3">
        <w:rPr>
          <w:vertAlign w:val="superscript"/>
        </w:rPr>
        <w:t>,</w:t>
      </w:r>
      <w:r w:rsidRPr="000F1EA3">
        <w:fldChar w:fldCharType="begin" w:fldLock="1"/>
      </w:r>
      <w:r w:rsidR="00021D26" w:rsidRPr="000F1EA3">
        <w:instrText>ADDIN CSL_CITATION { "citationItems" : [ { "id" : "ITEM-1", "itemData" : { "DOI" : "10.1021/ac400432p", "ISBN" : "0003-2700", "author" : [ { "dropping-particle" : "", "family" : "Dai", "given" : "Yuntao", "non-dropping-particle" : "", "parse-names" : false, "suffix" : "" }, { "dropping-particle" : "", "family" : "Witkamp", "given" : "Geert Jan", "non-dropping-particle" : "", "parse-names" : false, "suffix" : "" }, { "dropping-particle" : "", "family" : "Verpoorte", "given" : "Robert", "non-dropping-particle" : "", "parse-names" : false, "suffix" : "" }, { "dropping-particle" : "", "family" : "Choi", "given" : "Young Hae", "non-dropping-particle" : "", "parse-names" : false, "suffix" : "" } ], "container-title" : "Analytical Chemistry", "id" : "ITEM-1", "issue" : "13", "issued" : { "date-parts" : [ [ "2013" ] ] }, "page" : "6272-6278", "publisher" : "American Chemical Society", "title" : "Natural deep eutectic solvents as a new extraction media for phenolic metabolites in Carthamus tinctorius L.", "type" : "article-journal", "volume" : "85" }, "uris" : [ "http://www.mendeley.com/documents/?uuid=6a54fc13-24d3-4247-8707-40638de3eac6" ] } ], "mendeley" : { "formattedCitation" : "&lt;sup&gt;44&lt;/sup&gt;", "plainTextFormattedCitation" : "44", "previouslyFormattedCitation" : "&lt;sup&gt;44&lt;/sup&gt;" }, "properties" : { "noteIndex" : 0 }, "schema" : "https://github.com/citation-style-language/schema/raw/master/csl-citation.json" }</w:instrText>
      </w:r>
      <w:r w:rsidRPr="000F1EA3">
        <w:fldChar w:fldCharType="separate"/>
      </w:r>
      <w:r w:rsidR="00021D26" w:rsidRPr="000F1EA3">
        <w:rPr>
          <w:noProof/>
          <w:vertAlign w:val="superscript"/>
        </w:rPr>
        <w:t>44</w:t>
      </w:r>
      <w:r w:rsidRPr="000F1EA3">
        <w:fldChar w:fldCharType="end"/>
      </w:r>
      <w:r w:rsidRPr="000F1EA3">
        <w:t xml:space="preserve"> solid-phase extraction (SPE) on a C18 cartridge</w:t>
      </w:r>
      <w:r w:rsidR="005031D7" w:rsidRPr="000F1EA3">
        <w:fldChar w:fldCharType="begin" w:fldLock="1"/>
      </w:r>
      <w:r w:rsidR="005031D7" w:rsidRPr="000F1EA3">
        <w:instrText>ADDIN CSL_CITATION { "citationItems" : [ { "id" : "ITEM-1", "itemData" : { "DOI" : "10.1039/C4GC01556H", "ISBN" : "1463-9262", "ISSN" : "1463-9262", "abstract" : "&lt;p&gt;Green and efficient extraction of natural products from biomass is considered an important area of interest in the pharmaceutical and biochemical industries.&lt;/p&gt;", "author" : [ { "dropping-particle" : "", "family" : "Nam", "given" : "Min Woo", "non-dropping-particle" : "", "parse-names" : false, "suffix" : "" }, { "dropping-particle" : "", "family" : "Zhao", "given" : "Jing", "non-dropping-particle" : "", "parse-names" : false, "suffix" : "" }, { "dropping-particle" : "", "family" : "Lee", "given" : "Min Sang", "non-dropping-particle" : "", "parse-names" : false, "suffix" : "" }, { "dropping-particle" : "", "family" : "Jeong", "given" : "Ji Hoon", "non-dropping-particle" : "", "parse-names" : false, "suffix" : "" }, { "dropping-particle" : "", "family" : "Lee", "given" : "Jeongmi", "non-dropping-particle" : "", "parse-names" : false, "suffix" : "" } ], "container-title" : "Green Chem.", "id" : "ITEM-1", "issue" : "3", "issued" : { "date-parts" : [ [ "2015" ] ] }, "page" : "1718-1727", "publisher" : "Royal Society of Chemistry", "title" : "Enhanced extraction of bioactive natural products using tailor-made deep eutectic solvents: application to flavonoid extraction from Flos sophorae", "type" : "article-journal", "volume" : "17" }, "uris" : [ "http://www.mendeley.com/documents/?uuid=adddbda9-49b6-4088-97fc-d27dc92a0ede" ] } ], "mendeley" : { "formattedCitation" : "&lt;sup&gt;19&lt;/sup&gt;", "plainTextFormattedCitation" : "19", "previouslyFormattedCitation" : "&lt;sup&gt;19&lt;/sup&gt;" }, "properties" : { "noteIndex" : 0 }, "schema" : "https://github.com/citation-style-language/schema/raw/master/csl-citation.json" }</w:instrText>
      </w:r>
      <w:r w:rsidR="005031D7" w:rsidRPr="000F1EA3">
        <w:fldChar w:fldCharType="separate"/>
      </w:r>
      <w:r w:rsidR="005031D7" w:rsidRPr="000F1EA3">
        <w:rPr>
          <w:noProof/>
          <w:vertAlign w:val="superscript"/>
        </w:rPr>
        <w:t>19</w:t>
      </w:r>
      <w:r w:rsidR="005031D7" w:rsidRPr="000F1EA3">
        <w:fldChar w:fldCharType="end"/>
      </w:r>
      <w:r w:rsidRPr="000F1EA3">
        <w:t xml:space="preserve"> or liquid-liquid extraction (LLE) using another solvent.</w:t>
      </w:r>
      <w:r w:rsidRPr="000F1EA3">
        <w:fldChar w:fldCharType="begin" w:fldLock="1"/>
      </w:r>
      <w:r w:rsidR="00B366F3" w:rsidRPr="000F1EA3">
        <w:instrText>ADDIN CSL_CITATION { "citationItems" : [ { "id" : "ITEM-1", "itemData" : { "DOI" : "10.1016/j.fitote.2016.04.019", "ISSN" : "18736971", "PMID" : "27118320", "abstract" : "NAtural Deep Eutectic Solvents (NADES) are chemically simple but physiologically important plant constituents that exhibit unique solubilizing properties of other metabolites, including bioactive constituents. The high polarity of NADES introduces a challenge in the ability of conventional solid-support based chromatography to recover potential bioactive metabolites. This complicates the systematic explanation of the NADES' functions in botanical extracts. The present study utilizes countercurrent separation (CCS) methodology to overcome the recovery challenge. To demonstrate its feasibility, Glucose-Choline chloride-Water (GCWat, 2:5:5, mole/mole) served as a model NADES, and four widely used marker flavonoids with different polarities (rutin, quercetin, kaempferol, and daidzein) were chosen as model target analytes. In order to prepare GCWat with high consistency, a water drying study was performed. The unique capabilities of the recently introduced CherryOne system, offering volumetric phase metering, were used to monitor the CCS operations. The collected fractions were analyzed using UHPLC and NMR/quantitative NMR. CCS was able to recover the analytes from the NADES matrix with quantitative recoveries of 95.7%, 94.6%, 97.0%, and 96.7% for rutin, quercetin, kaempferol, and daidzein respectively. The CCS strategy enables recovery of target metabolites from NADES-containing crude extracts as well as from other chemical mixtures, and moreover offers a means of using NADES as environmentally friendly extraction solvents.", "author" : [ { "dropping-particle" : "", "family" : "Liu", "given" : "Yang", "non-dropping-particle" : "", "parse-names" : false, "suffix" : "" }, { "dropping-particle" : "", "family" : "Garzon", "given" : "Jahir", "non-dropping-particle" : "", "parse-names" : false, "suffix" : "" }, { "dropping-particle" : "", "family" : "Friesen", "given" : "J. Brent", "non-dropping-particle" : "", "parse-names" : false, "suffix" : "" }, { "dropping-particle" : "", "family" : "Zhang", "given" : "Yu", "non-dropping-particle" : "", "parse-names" : false, "suffix" : "" }, { "dropping-particle" : "", "family" : "McAlpine", "given" : "James B.", "non-dropping-particle" : "", "parse-names" : false, "suffix" : "" }, { "dropping-particle" : "", "family" : "Lankin", "given" : "David C.", "non-dropping-particle" : "", "parse-names" : false, "suffix" : "" }, { "dropping-particle" : "", "family" : "Chen", "given" : "Shao Nong", "non-dropping-particle" : "", "parse-names" : false, "suffix" : "" }, { "dropping-particle" : "", "family" : "Pauli", "given" : "Guido F.", "non-dropping-particle" : "", "parse-names" : false, "suffix" : "" } ], "container-title" : "Fitoterapia", "id" : "ITEM-1", "issued" : { "date-parts" : [ [ "2016" ] ] }, "page" : "30-37", "title" : "Countercurrent assisted quantitative recovery of metabolites from plant-associated natural deep eutectic solvents", "type" : "article-journal", "volume" : "112" }, "uris" : [ "http://www.mendeley.com/documents/?uuid=3f329f3e-f120-41ac-babd-b84167330891" ] } ], "mendeley" : { "formattedCitation" : "&lt;sup&gt;45&lt;/sup&gt;", "plainTextFormattedCitation" : "45", "previouslyFormattedCitation" : "&lt;sup&gt;45&lt;/sup&gt;" }, "properties" : { "noteIndex" : 0 }, "schema" : "https://github.com/citation-style-language/schema/raw/master/csl-citation.json" }</w:instrText>
      </w:r>
      <w:r w:rsidRPr="000F1EA3">
        <w:fldChar w:fldCharType="separate"/>
      </w:r>
      <w:r w:rsidR="005031D7" w:rsidRPr="000F1EA3">
        <w:rPr>
          <w:noProof/>
          <w:vertAlign w:val="superscript"/>
        </w:rPr>
        <w:t>45</w:t>
      </w:r>
      <w:r w:rsidRPr="000F1EA3">
        <w:fldChar w:fldCharType="end"/>
      </w:r>
      <w:r w:rsidRPr="000F1EA3">
        <w:t xml:space="preserve"> In the present study, water as an </w:t>
      </w:r>
      <w:proofErr w:type="spellStart"/>
      <w:r w:rsidRPr="000F1EA3">
        <w:t>antisolvent</w:t>
      </w:r>
      <w:proofErr w:type="spellEnd"/>
      <w:r w:rsidRPr="000F1EA3">
        <w:t xml:space="preserve"> is used. In this </w:t>
      </w:r>
      <w:proofErr w:type="gramStart"/>
      <w:r w:rsidRPr="000F1EA3">
        <w:t>work</w:t>
      </w:r>
      <w:proofErr w:type="gramEnd"/>
      <w:r w:rsidRPr="000F1EA3">
        <w:t xml:space="preserve"> we focus on the analysis of the precipitate obtained. For this purpose, several techniques were used (NMR, ATR-IR, TGA, CHN and SDS-PAGE).</w:t>
      </w:r>
    </w:p>
    <w:p w:rsidR="00F00152" w:rsidRPr="000F1EA3" w:rsidRDefault="00F00152" w:rsidP="00F00152">
      <w:pPr>
        <w:spacing w:after="0"/>
        <w:jc w:val="center"/>
      </w:pPr>
      <w:r w:rsidRPr="000F1EA3">
        <w:rPr>
          <w:noProof/>
          <w:lang w:val="en-GB" w:eastAsia="en-GB" w:bidi="pa-IN"/>
        </w:rPr>
        <w:drawing>
          <wp:inline distT="0" distB="0" distL="0" distR="0" wp14:anchorId="465ED6D8" wp14:editId="3F64F389">
            <wp:extent cx="5943600" cy="2735952"/>
            <wp:effectExtent l="0" t="0" r="0" b="7620"/>
            <wp:docPr id="18" name="Obraz 18" descr="D:\PUBLIKACJE MOJE sony\ACSSC&amp;E\Figs\PO GIM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UBLIKACJE MOJE sony\ACSSC&amp;E\Figs\PO GIMP\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35952"/>
                    </a:xfrm>
                    <a:prstGeom prst="rect">
                      <a:avLst/>
                    </a:prstGeom>
                    <a:noFill/>
                    <a:ln>
                      <a:noFill/>
                    </a:ln>
                  </pic:spPr>
                </pic:pic>
              </a:graphicData>
            </a:graphic>
          </wp:inline>
        </w:drawing>
      </w:r>
    </w:p>
    <w:p w:rsidR="00F00152" w:rsidRPr="000F1EA3" w:rsidRDefault="00F00152" w:rsidP="00355997">
      <w:pPr>
        <w:pStyle w:val="VAFigureCaption"/>
      </w:pPr>
      <w:r w:rsidRPr="000F1EA3">
        <w:rPr>
          <w:b/>
        </w:rPr>
        <w:lastRenderedPageBreak/>
        <w:t xml:space="preserve">Figure </w:t>
      </w:r>
      <w:r w:rsidR="00044924" w:rsidRPr="000F1EA3">
        <w:rPr>
          <w:b/>
        </w:rPr>
        <w:t>1</w:t>
      </w:r>
      <w:r w:rsidRPr="000F1EA3">
        <w:rPr>
          <w:b/>
        </w:rPr>
        <w:t>.</w:t>
      </w:r>
      <w:r w:rsidR="00C42AC5" w:rsidRPr="000F1EA3">
        <w:t xml:space="preserve"> Holistic approach used to produce protein-rich extracts from oilseed cakes by means of DES</w:t>
      </w:r>
      <w:r w:rsidRPr="000F1EA3">
        <w:t>.</w:t>
      </w:r>
    </w:p>
    <w:p w:rsidR="00F00152" w:rsidRPr="000F1EA3" w:rsidRDefault="00F00152" w:rsidP="003C365E">
      <w:pPr>
        <w:jc w:val="center"/>
      </w:pPr>
    </w:p>
    <w:p w:rsidR="00304AAA" w:rsidRPr="000F1EA3" w:rsidRDefault="00304AAA" w:rsidP="003C365E">
      <w:pPr>
        <w:jc w:val="center"/>
      </w:pPr>
      <w:r w:rsidRPr="000F1EA3">
        <w:rPr>
          <w:noProof/>
          <w:lang w:val="en-GB" w:eastAsia="en-GB" w:bidi="pa-IN"/>
        </w:rPr>
        <w:drawing>
          <wp:inline distT="0" distB="0" distL="0" distR="0">
            <wp:extent cx="4305300" cy="3153291"/>
            <wp:effectExtent l="0" t="0" r="0" b="9525"/>
            <wp:docPr id="17" name="Obraz 17" descr="D:\PUBLIKACJE MOJE sony\ACSSC&amp;E\Figs\PO GIM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UBLIKACJE MOJE sony\ACSSC&amp;E\Figs\PO GIMP\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968" cy="3162570"/>
                    </a:xfrm>
                    <a:prstGeom prst="rect">
                      <a:avLst/>
                    </a:prstGeom>
                    <a:noFill/>
                    <a:ln>
                      <a:noFill/>
                    </a:ln>
                  </pic:spPr>
                </pic:pic>
              </a:graphicData>
            </a:graphic>
          </wp:inline>
        </w:drawing>
      </w:r>
    </w:p>
    <w:p w:rsidR="003C365E" w:rsidRPr="000F1EA3" w:rsidRDefault="003C365E" w:rsidP="003C365E">
      <w:pPr>
        <w:pStyle w:val="VAFigureCaption"/>
      </w:pPr>
      <w:r w:rsidRPr="000F1EA3">
        <w:rPr>
          <w:b/>
        </w:rPr>
        <w:t xml:space="preserve">Figure </w:t>
      </w:r>
      <w:r w:rsidR="00055558" w:rsidRPr="000F1EA3">
        <w:rPr>
          <w:b/>
        </w:rPr>
        <w:t>2</w:t>
      </w:r>
      <w:r w:rsidRPr="000F1EA3">
        <w:rPr>
          <w:bCs/>
        </w:rPr>
        <w:t>.</w:t>
      </w:r>
      <w:r w:rsidRPr="000F1EA3">
        <w:t xml:space="preserve"> Schematic showing the treatment of RC and EC wit</w:t>
      </w:r>
      <w:r w:rsidR="00C42AC5" w:rsidRPr="000F1EA3">
        <w:t>h DES and precipitate formation at different temperatures.</w:t>
      </w:r>
    </w:p>
    <w:p w:rsidR="00021D26" w:rsidRPr="000F1EA3" w:rsidRDefault="00021D26" w:rsidP="00021D26"/>
    <w:p w:rsidR="00724D6B" w:rsidRPr="000F1EA3" w:rsidRDefault="0047444A" w:rsidP="00285138">
      <w:pPr>
        <w:pStyle w:val="TAMainText"/>
        <w:spacing w:after="120"/>
        <w:ind w:firstLine="0"/>
        <w:jc w:val="left"/>
        <w:rPr>
          <w:b/>
        </w:rPr>
      </w:pPr>
      <w:r w:rsidRPr="000F1EA3">
        <w:rPr>
          <w:b/>
        </w:rPr>
        <w:t>EXPERIMENTAL SECTION</w:t>
      </w:r>
    </w:p>
    <w:p w:rsidR="00E37738" w:rsidRPr="000F1EA3" w:rsidRDefault="00E37738" w:rsidP="00E37738">
      <w:pPr>
        <w:pStyle w:val="TAMainText"/>
        <w:ind w:firstLine="0"/>
        <w:rPr>
          <w:b/>
        </w:rPr>
      </w:pPr>
      <w:r w:rsidRPr="000F1EA3">
        <w:rPr>
          <w:b/>
        </w:rPr>
        <w:t>Materials</w:t>
      </w:r>
    </w:p>
    <w:p w:rsidR="00724D6B" w:rsidRPr="000F1EA3" w:rsidRDefault="00E37738" w:rsidP="00E37738">
      <w:pPr>
        <w:pStyle w:val="TAMainText"/>
        <w:ind w:firstLine="0"/>
      </w:pPr>
      <w:r w:rsidRPr="000F1EA3">
        <w:t xml:space="preserve">Rapeseed cake (RC) and evening primrose cake (EC) pellets </w:t>
      </w:r>
      <w:proofErr w:type="gramStart"/>
      <w:r w:rsidRPr="000F1EA3">
        <w:t>were obtained</w:t>
      </w:r>
      <w:proofErr w:type="gramEnd"/>
      <w:r w:rsidRPr="000F1EA3">
        <w:t xml:space="preserve"> from </w:t>
      </w:r>
      <w:proofErr w:type="spellStart"/>
      <w:r w:rsidRPr="000F1EA3">
        <w:t>Oleofarm</w:t>
      </w:r>
      <w:proofErr w:type="spellEnd"/>
      <w:r w:rsidRPr="000F1EA3">
        <w:t xml:space="preserve"> Sp. z o. o. (</w:t>
      </w:r>
      <w:proofErr w:type="spellStart"/>
      <w:r w:rsidRPr="000F1EA3">
        <w:t>Wrocław</w:t>
      </w:r>
      <w:proofErr w:type="spellEnd"/>
      <w:r w:rsidRPr="000F1EA3">
        <w:t>, Poland). Choline chloride (≥</w:t>
      </w:r>
      <w:proofErr w:type="gramStart"/>
      <w:r w:rsidRPr="000F1EA3">
        <w:t>98.0%</w:t>
      </w:r>
      <w:proofErr w:type="gramEnd"/>
      <w:r w:rsidRPr="000F1EA3">
        <w:t>) was purchased from Sigma Aldrich (</w:t>
      </w:r>
      <w:proofErr w:type="spellStart"/>
      <w:r w:rsidRPr="000F1EA3">
        <w:t>Poznań</w:t>
      </w:r>
      <w:proofErr w:type="spellEnd"/>
      <w:r w:rsidRPr="000F1EA3">
        <w:t>, Poland). Glycerin (≥</w:t>
      </w:r>
      <w:proofErr w:type="gramStart"/>
      <w:r w:rsidRPr="000F1EA3">
        <w:t>99.5%</w:t>
      </w:r>
      <w:proofErr w:type="gramEnd"/>
      <w:r w:rsidRPr="000F1EA3">
        <w:t xml:space="preserve">) was purchased from </w:t>
      </w:r>
      <w:proofErr w:type="spellStart"/>
      <w:r w:rsidRPr="000F1EA3">
        <w:t>Chempur</w:t>
      </w:r>
      <w:proofErr w:type="spellEnd"/>
      <w:r w:rsidRPr="000F1EA3">
        <w:t xml:space="preserve"> (</w:t>
      </w:r>
      <w:proofErr w:type="spellStart"/>
      <w:r w:rsidRPr="000F1EA3">
        <w:t>Piekary</w:t>
      </w:r>
      <w:proofErr w:type="spellEnd"/>
      <w:r w:rsidRPr="000F1EA3">
        <w:t xml:space="preserve"> </w:t>
      </w:r>
      <w:proofErr w:type="spellStart"/>
      <w:r w:rsidRPr="000F1EA3">
        <w:t>Śląskie</w:t>
      </w:r>
      <w:proofErr w:type="spellEnd"/>
      <w:r w:rsidRPr="000F1EA3">
        <w:t xml:space="preserve">, Poland). Ultra-pure water </w:t>
      </w:r>
      <w:proofErr w:type="gramStart"/>
      <w:r w:rsidRPr="000F1EA3">
        <w:t>was obtained</w:t>
      </w:r>
      <w:proofErr w:type="gramEnd"/>
      <w:r w:rsidRPr="000F1EA3">
        <w:t xml:space="preserve"> from a </w:t>
      </w:r>
      <w:proofErr w:type="spellStart"/>
      <w:r w:rsidRPr="000F1EA3">
        <w:t>Milli</w:t>
      </w:r>
      <w:proofErr w:type="spellEnd"/>
      <w:r w:rsidRPr="000F1EA3">
        <w:t>-Q system (Millipore, Bedford, MA, USA). DES (</w:t>
      </w:r>
      <w:proofErr w:type="spellStart"/>
      <w:r w:rsidRPr="000F1EA3">
        <w:t>Glyceline</w:t>
      </w:r>
      <w:proofErr w:type="spellEnd"/>
      <w:r w:rsidRPr="000F1EA3">
        <w:t xml:space="preserve">) </w:t>
      </w:r>
      <w:proofErr w:type="gramStart"/>
      <w:r w:rsidRPr="000F1EA3">
        <w:t>was prepared</w:t>
      </w:r>
      <w:proofErr w:type="gramEnd"/>
      <w:r w:rsidRPr="000F1EA3">
        <w:t xml:space="preserve"> according to previously described method.</w:t>
      </w:r>
      <w:r w:rsidR="00977C81" w:rsidRPr="000F1EA3">
        <w:rPr>
          <w:vertAlign w:val="superscript"/>
        </w:rPr>
        <w:t>46</w:t>
      </w:r>
      <w:r w:rsidRPr="000F1EA3">
        <w:t xml:space="preserve"> Choline chloride and glycerol were mixed </w:t>
      </w:r>
      <w:r w:rsidRPr="000F1EA3">
        <w:lastRenderedPageBreak/>
        <w:t>in a 250-mL flask in a molar ratio of 1:2. The mixture was stirred (500 rpm) at 80 °C in an oil bath until a homogeneous, transparent liquid was formed (45 min). After cooling, the DES (</w:t>
      </w:r>
      <w:proofErr w:type="spellStart"/>
      <w:r w:rsidRPr="000F1EA3">
        <w:t>Glyceline</w:t>
      </w:r>
      <w:proofErr w:type="spellEnd"/>
      <w:r w:rsidRPr="000F1EA3">
        <w:t>) was stored at room temperature.</w:t>
      </w:r>
    </w:p>
    <w:p w:rsidR="00E37738" w:rsidRPr="000F1EA3" w:rsidRDefault="00E37738" w:rsidP="00E37738">
      <w:pPr>
        <w:pStyle w:val="TAMainText"/>
        <w:ind w:firstLine="0"/>
        <w:rPr>
          <w:b/>
        </w:rPr>
      </w:pPr>
      <w:r w:rsidRPr="000F1EA3">
        <w:rPr>
          <w:b/>
        </w:rPr>
        <w:t>Treatment of RC and EC with DES – general method (</w:t>
      </w:r>
      <w:r w:rsidR="008E2CB8" w:rsidRPr="000F1EA3">
        <w:rPr>
          <w:b/>
        </w:rPr>
        <w:t>Figure</w:t>
      </w:r>
      <w:r w:rsidRPr="000F1EA3">
        <w:rPr>
          <w:b/>
        </w:rPr>
        <w:t xml:space="preserve"> </w:t>
      </w:r>
      <w:r w:rsidR="00055558" w:rsidRPr="000F1EA3">
        <w:rPr>
          <w:b/>
        </w:rPr>
        <w:t>2</w:t>
      </w:r>
      <w:r w:rsidRPr="000F1EA3">
        <w:rPr>
          <w:b/>
        </w:rPr>
        <w:t>)</w:t>
      </w:r>
    </w:p>
    <w:p w:rsidR="00E37738" w:rsidRPr="000F1EA3" w:rsidRDefault="00E37738" w:rsidP="00E37738">
      <w:pPr>
        <w:pStyle w:val="TAMainText"/>
        <w:ind w:firstLine="0"/>
      </w:pPr>
      <w:r w:rsidRPr="000F1EA3">
        <w:t>Prior to DES treatment, RC and EC pellets were ground into fine powder using an IKA A11 grinder (IKA-</w:t>
      </w:r>
      <w:proofErr w:type="spellStart"/>
      <w:r w:rsidRPr="000F1EA3">
        <w:t>Werke</w:t>
      </w:r>
      <w:proofErr w:type="spellEnd"/>
      <w:r w:rsidRPr="000F1EA3">
        <w:t xml:space="preserve"> GmbH, Germany). The ground sample (5 g) was placed into 100 mL screw-top glass bottle and was mixed with DES (45 g) giving a biomass: DES ratio of </w:t>
      </w:r>
      <w:proofErr w:type="gramStart"/>
      <w:r w:rsidRPr="000F1EA3">
        <w:t>1 :</w:t>
      </w:r>
      <w:proofErr w:type="gramEnd"/>
      <w:r w:rsidRPr="000F1EA3">
        <w:t xml:space="preserve"> 9 (w/w). The mixture was stirred (500 rpm) at three different temperatures: 60, 100 and 140 °C for 2 h in an oil bath. After cooling to room temperature, the content of the bottle was centrifuged for 10 min at 3500 rpm (MPW-350-RH, MPW Med. Instruments, </w:t>
      </w:r>
      <w:proofErr w:type="gramStart"/>
      <w:r w:rsidRPr="000F1EA3">
        <w:t>Warsaw</w:t>
      </w:r>
      <w:proofErr w:type="gramEnd"/>
      <w:r w:rsidRPr="000F1EA3">
        <w:t xml:space="preserve">, Poland). The liquid fraction (supernatant) </w:t>
      </w:r>
      <w:proofErr w:type="gramStart"/>
      <w:r w:rsidRPr="000F1EA3">
        <w:t>was decanted</w:t>
      </w:r>
      <w:proofErr w:type="gramEnd"/>
      <w:r w:rsidRPr="000F1EA3">
        <w:t xml:space="preserve"> into an Erlenmeyer flask (300 mL), whilst the pellet was treated with fresh DES (3 x 5 g), re-centrifuged (10 min, 3500 rpm) and the obtained supernatant was each time transferred to the same Erlenmeyer flask with liquid fraction. The combined liquid fractions were denoted LF. For example, LF obtained after RC and EC treatment are coded RCLF and ECLF, respectively. The DES extracted pellet, now termed the biomass residue (BR) </w:t>
      </w:r>
      <w:proofErr w:type="gramStart"/>
      <w:r w:rsidRPr="000F1EA3">
        <w:t>was washed</w:t>
      </w:r>
      <w:proofErr w:type="gramEnd"/>
      <w:r w:rsidRPr="000F1EA3">
        <w:t xml:space="preserve"> with DI water (3 × 20 mL), filtered </w:t>
      </w:r>
      <w:r w:rsidRPr="000F1EA3">
        <w:rPr>
          <w:i/>
        </w:rPr>
        <w:t xml:space="preserve">in </w:t>
      </w:r>
      <w:proofErr w:type="spellStart"/>
      <w:r w:rsidRPr="000F1EA3">
        <w:rPr>
          <w:i/>
        </w:rPr>
        <w:t>vacuo</w:t>
      </w:r>
      <w:proofErr w:type="spellEnd"/>
      <w:r w:rsidRPr="000F1EA3">
        <w:t xml:space="preserve">, dried (105 °C, 16 h), cooled in a desiccator and weighed to the nearest 0.001 g. BR of RC and EC were denoted RCBR and ECBR, respectively. The numbers (60, 100, 140) following the acronyms RCLF, ECLF, RCBR and ECBR represent the extraction temperature in which biomass was treated. For example, RCLF60 refers to rapeseed cake liquid fraction processed at 60 °C. Each experiment </w:t>
      </w:r>
      <w:proofErr w:type="gramStart"/>
      <w:r w:rsidRPr="000F1EA3">
        <w:t>was performed</w:t>
      </w:r>
      <w:proofErr w:type="gramEnd"/>
      <w:r w:rsidRPr="000F1EA3">
        <w:t xml:space="preserve"> in triplicate.</w:t>
      </w:r>
    </w:p>
    <w:p w:rsidR="00E37738" w:rsidRPr="000F1EA3" w:rsidRDefault="00E37738" w:rsidP="00E37738">
      <w:pPr>
        <w:pStyle w:val="TAMainText"/>
        <w:ind w:firstLine="0"/>
        <w:rPr>
          <w:b/>
        </w:rPr>
      </w:pPr>
      <w:r w:rsidRPr="000F1EA3">
        <w:rPr>
          <w:b/>
        </w:rPr>
        <w:t>Precipitation of LF –</w:t>
      </w:r>
      <w:r w:rsidRPr="000F1EA3">
        <w:rPr>
          <w:rFonts w:cs="AdvOTaa6301a5.B"/>
          <w:b/>
        </w:rPr>
        <w:t xml:space="preserve"> general method</w:t>
      </w:r>
    </w:p>
    <w:p w:rsidR="00E37738" w:rsidRPr="000F1EA3" w:rsidRDefault="00E37738" w:rsidP="001C0C63">
      <w:pPr>
        <w:pStyle w:val="TAMainText"/>
        <w:ind w:firstLine="0"/>
      </w:pPr>
      <w:r w:rsidRPr="000F1EA3">
        <w:t xml:space="preserve">To the LF obtained after treatment of the oil cakes with DES, a further 250 mL of DI water </w:t>
      </w:r>
      <w:proofErr w:type="gramStart"/>
      <w:r w:rsidRPr="000F1EA3">
        <w:t>was added</w:t>
      </w:r>
      <w:proofErr w:type="gramEnd"/>
      <w:r w:rsidRPr="000F1EA3">
        <w:t xml:space="preserve">, and the mixture was incubated at 4 °C for 12 h. </w:t>
      </w:r>
      <w:r w:rsidRPr="000F1EA3">
        <w:rPr>
          <w:rFonts w:cs="AdvOTaa6301a5.B"/>
        </w:rPr>
        <w:t xml:space="preserve">The ensuing precipitate </w:t>
      </w:r>
      <w:proofErr w:type="gramStart"/>
      <w:r w:rsidRPr="000F1EA3">
        <w:rPr>
          <w:rFonts w:cs="AdvOTaa6301a5.B"/>
        </w:rPr>
        <w:t>was separated</w:t>
      </w:r>
      <w:proofErr w:type="gramEnd"/>
      <w:r w:rsidRPr="000F1EA3">
        <w:rPr>
          <w:rFonts w:cs="AdvOTaa6301a5.B"/>
        </w:rPr>
        <w:t xml:space="preserve"> by </w:t>
      </w:r>
      <w:r w:rsidRPr="000F1EA3">
        <w:rPr>
          <w:rFonts w:cs="AdvOTaa6301a5.B"/>
        </w:rPr>
        <w:lastRenderedPageBreak/>
        <w:t xml:space="preserve">centrifugation </w:t>
      </w:r>
      <w:r w:rsidRPr="000F1EA3">
        <w:t xml:space="preserve">(10 min, 6500 rpm); the gathered precipitate was washed with DI water (3 × 20 mL), each time being centrifuged (10 min, 6500 rpm). </w:t>
      </w:r>
      <w:r w:rsidRPr="000F1EA3">
        <w:rPr>
          <w:rFonts w:cs="AdvOTaa6301a5.B"/>
        </w:rPr>
        <w:t xml:space="preserve">Effective separation of the precipitate obtained after adding water to RCLF was difficult by means of centrifugation. In this case, filtration using a P3 glass crucible </w:t>
      </w:r>
      <w:proofErr w:type="gramStart"/>
      <w:r w:rsidRPr="000F1EA3">
        <w:rPr>
          <w:rFonts w:cs="AdvOTaa6301a5.B"/>
        </w:rPr>
        <w:t>was used</w:t>
      </w:r>
      <w:proofErr w:type="gramEnd"/>
      <w:r w:rsidRPr="000F1EA3">
        <w:rPr>
          <w:rFonts w:cs="AdvOTaa6301a5.B"/>
        </w:rPr>
        <w:t xml:space="preserve">; the precipitate was washed three times with DI water (3 × 20 mL). </w:t>
      </w:r>
      <w:r w:rsidRPr="000F1EA3">
        <w:t xml:space="preserve">The resulting precipitates were then freeze-dried </w:t>
      </w:r>
      <w:r w:rsidRPr="000F1EA3">
        <w:rPr>
          <w:rFonts w:cs="AdvOTaa6301a5.B"/>
        </w:rPr>
        <w:t>(</w:t>
      </w:r>
      <w:proofErr w:type="spellStart"/>
      <w:r w:rsidRPr="000F1EA3">
        <w:rPr>
          <w:rFonts w:cs="AdvOTaa6301a5.B"/>
        </w:rPr>
        <w:t>FreeZone</w:t>
      </w:r>
      <w:proofErr w:type="spellEnd"/>
      <w:r w:rsidRPr="000F1EA3">
        <w:rPr>
          <w:rFonts w:cs="AdvOTaa6301a5.B"/>
        </w:rPr>
        <w:t xml:space="preserve"> Freeze Dry Systems 18L, </w:t>
      </w:r>
      <w:proofErr w:type="spellStart"/>
      <w:r w:rsidRPr="000F1EA3">
        <w:rPr>
          <w:rFonts w:cs="AdvOTaa6301a5.B"/>
        </w:rPr>
        <w:t>Labconco</w:t>
      </w:r>
      <w:proofErr w:type="spellEnd"/>
      <w:r w:rsidRPr="000F1EA3">
        <w:rPr>
          <w:rFonts w:cs="AdvOTaa6301a5.B"/>
        </w:rPr>
        <w:t>, Kansas City, USA) and denoted as</w:t>
      </w:r>
      <w:r w:rsidRPr="000F1EA3">
        <w:t xml:space="preserve"> RCP and ECP based on their origin. The numbers (60, 100, 140) following the acronyms RCP and ECP represent the extraction temperature in which biomass was treated. Each experiment </w:t>
      </w:r>
      <w:proofErr w:type="gramStart"/>
      <w:r w:rsidRPr="000F1EA3">
        <w:t>was performed</w:t>
      </w:r>
      <w:proofErr w:type="gramEnd"/>
      <w:r w:rsidRPr="000F1EA3">
        <w:t xml:space="preserve"> in triplicate.</w:t>
      </w:r>
    </w:p>
    <w:p w:rsidR="00FF41C0" w:rsidRPr="000F1EA3" w:rsidRDefault="00FF41C0" w:rsidP="00FF41C0">
      <w:pPr>
        <w:pStyle w:val="TAMainText"/>
        <w:ind w:firstLine="0"/>
        <w:rPr>
          <w:b/>
        </w:rPr>
      </w:pPr>
      <w:r w:rsidRPr="000F1EA3">
        <w:rPr>
          <w:b/>
        </w:rPr>
        <w:t>Instrumental analysis</w:t>
      </w:r>
    </w:p>
    <w:p w:rsidR="00FF41C0" w:rsidRPr="000F1EA3" w:rsidRDefault="00FF41C0" w:rsidP="00FF41C0">
      <w:pPr>
        <w:pStyle w:val="TAMainText"/>
        <w:ind w:firstLine="0"/>
      </w:pPr>
      <w:r w:rsidRPr="000F1EA3">
        <w:t xml:space="preserve">For compositional analysis and physicochemical characterization of RCP, ECP, as well as RCBR, ECBR, RC and EC, several techniques </w:t>
      </w:r>
      <w:proofErr w:type="gramStart"/>
      <w:r w:rsidRPr="000F1EA3">
        <w:t>were used</w:t>
      </w:r>
      <w:proofErr w:type="gramEnd"/>
      <w:r w:rsidRPr="000F1EA3">
        <w:t xml:space="preserve">, such as Solid State </w:t>
      </w:r>
      <w:r w:rsidRPr="000F1EA3">
        <w:rPr>
          <w:vertAlign w:val="superscript"/>
        </w:rPr>
        <w:t>13</w:t>
      </w:r>
      <w:r w:rsidRPr="000F1EA3">
        <w:t xml:space="preserve">C CP-MAS NMR, ATR-IR, CHN and SDS-PAGE. Full instrument details </w:t>
      </w:r>
      <w:proofErr w:type="gramStart"/>
      <w:r w:rsidRPr="000F1EA3">
        <w:t>are given</w:t>
      </w:r>
      <w:proofErr w:type="gramEnd"/>
      <w:r w:rsidRPr="000F1EA3">
        <w:t xml:space="preserve"> in </w:t>
      </w:r>
      <w:r w:rsidR="00055DD4" w:rsidRPr="000F1EA3">
        <w:t xml:space="preserve">the </w:t>
      </w:r>
      <w:r w:rsidR="002B2986" w:rsidRPr="000F1EA3">
        <w:t>Supporting Information</w:t>
      </w:r>
      <w:r w:rsidRPr="000F1EA3">
        <w:t xml:space="preserve">. </w:t>
      </w:r>
    </w:p>
    <w:p w:rsidR="001C0C63" w:rsidRPr="000F1EA3" w:rsidRDefault="001C0C63" w:rsidP="001C0C63">
      <w:pPr>
        <w:pStyle w:val="TAMainText"/>
        <w:ind w:firstLine="0"/>
        <w:rPr>
          <w:b/>
        </w:rPr>
      </w:pPr>
    </w:p>
    <w:p w:rsidR="00FF41C0" w:rsidRPr="000F1EA3" w:rsidRDefault="001C0C63" w:rsidP="00285138">
      <w:pPr>
        <w:pStyle w:val="TAMainText"/>
        <w:spacing w:after="120"/>
        <w:ind w:firstLine="0"/>
        <w:jc w:val="left"/>
        <w:rPr>
          <w:b/>
          <w:bCs/>
        </w:rPr>
      </w:pPr>
      <w:r w:rsidRPr="000F1EA3">
        <w:rPr>
          <w:b/>
          <w:bCs/>
        </w:rPr>
        <w:t>RESULTS AND DISCUSSION</w:t>
      </w:r>
    </w:p>
    <w:p w:rsidR="001C0C63" w:rsidRPr="000F1EA3" w:rsidRDefault="001C0C63" w:rsidP="001C0C63">
      <w:pPr>
        <w:pStyle w:val="TAMainText"/>
        <w:ind w:firstLine="0"/>
        <w:rPr>
          <w:b/>
        </w:rPr>
      </w:pPr>
      <w:r w:rsidRPr="000F1EA3">
        <w:rPr>
          <w:rStyle w:val="hps"/>
          <w:b/>
        </w:rPr>
        <w:t xml:space="preserve">Pretreatment of </w:t>
      </w:r>
      <w:r w:rsidRPr="000F1EA3">
        <w:rPr>
          <w:b/>
        </w:rPr>
        <w:t>RC and EC with DES</w:t>
      </w:r>
    </w:p>
    <w:p w:rsidR="001C0C63" w:rsidRPr="000F1EA3" w:rsidRDefault="001C0C63" w:rsidP="001C0C63">
      <w:pPr>
        <w:pStyle w:val="TAMainText"/>
      </w:pPr>
      <w:r w:rsidRPr="000F1EA3">
        <w:t xml:space="preserve">The mass losses of RC and EC after DES treatment </w:t>
      </w:r>
      <w:proofErr w:type="gramStart"/>
      <w:r w:rsidRPr="000F1EA3">
        <w:t>are presented</w:t>
      </w:r>
      <w:proofErr w:type="gramEnd"/>
      <w:r w:rsidRPr="000F1EA3">
        <w:t xml:space="preserve"> in Fig</w:t>
      </w:r>
      <w:r w:rsidR="00014460" w:rsidRPr="000F1EA3">
        <w:t>ure</w:t>
      </w:r>
      <w:r w:rsidR="00C42AC5" w:rsidRPr="000F1EA3">
        <w:t xml:space="preserve"> </w:t>
      </w:r>
      <w:r w:rsidR="00055558" w:rsidRPr="000F1EA3">
        <w:t>S1</w:t>
      </w:r>
      <w:r w:rsidRPr="000F1EA3">
        <w:t xml:space="preserve">, which shows that mass losses after DES treatment increased with increasing temperature. However, during the extraction at 60 °C and 100 °C the mass losses of RC were significantly higher than in the case of EC (at 60°C: </w:t>
      </w:r>
      <w:proofErr w:type="gramStart"/>
      <w:r w:rsidRPr="000F1EA3">
        <w:t>47%</w:t>
      </w:r>
      <w:proofErr w:type="gramEnd"/>
      <w:r w:rsidRPr="000F1EA3">
        <w:t xml:space="preserve"> and 26%, at 100 °C: 53% and 33% for RC and EC, respectively). The largest mass decrease for both oil cakes </w:t>
      </w:r>
      <w:proofErr w:type="gramStart"/>
      <w:r w:rsidRPr="000F1EA3">
        <w:t>was observed</w:t>
      </w:r>
      <w:proofErr w:type="gramEnd"/>
      <w:r w:rsidRPr="000F1EA3">
        <w:t xml:space="preserve"> at 140 </w:t>
      </w:r>
      <w:r w:rsidRPr="000F1EA3">
        <w:rPr>
          <w:rFonts w:cs="AdvOTaa6301a5.B"/>
        </w:rPr>
        <w:t>°</w:t>
      </w:r>
      <w:r w:rsidRPr="000F1EA3">
        <w:t>C, 57% and 52% for RC and EC, respectively.</w:t>
      </w:r>
    </w:p>
    <w:p w:rsidR="001C0C63" w:rsidRPr="000F1EA3" w:rsidRDefault="001C0C63" w:rsidP="001C0C63">
      <w:pPr>
        <w:pStyle w:val="TAMainText"/>
      </w:pPr>
      <w:r w:rsidRPr="000F1EA3">
        <w:t>As shown in the Fig</w:t>
      </w:r>
      <w:r w:rsidR="00014460" w:rsidRPr="000F1EA3">
        <w:t>ure</w:t>
      </w:r>
      <w:r w:rsidRPr="000F1EA3">
        <w:t xml:space="preserve"> </w:t>
      </w:r>
      <w:r w:rsidR="00055558" w:rsidRPr="000F1EA3">
        <w:t>3</w:t>
      </w:r>
      <w:r w:rsidRPr="000F1EA3">
        <w:t xml:space="preserve"> </w:t>
      </w:r>
      <w:r w:rsidR="00C42AC5" w:rsidRPr="000F1EA3">
        <w:t xml:space="preserve">the yield </w:t>
      </w:r>
      <w:r w:rsidRPr="000F1EA3">
        <w:t>of precipitate formed after adding water (</w:t>
      </w:r>
      <w:proofErr w:type="spellStart"/>
      <w:r w:rsidRPr="000F1EA3">
        <w:t>antisolvent</w:t>
      </w:r>
      <w:proofErr w:type="spellEnd"/>
      <w:r w:rsidRPr="000F1EA3">
        <w:t xml:space="preserve">) to the LF increased with increasing the extraction temperatures. The change of the extraction temperature </w:t>
      </w:r>
      <w:r w:rsidRPr="000F1EA3">
        <w:lastRenderedPageBreak/>
        <w:t>from 60 °C to 140 °C results in a nearly two-fold increase in the resulting precipitate in the case of RC (11.5 and 19.9 g/100 g RC, respectively), and over four-fold in the case of EC (8.4 and 34.2 g/100 g EC, respectively).</w:t>
      </w:r>
    </w:p>
    <w:p w:rsidR="00EC78B7" w:rsidRPr="000F1EA3" w:rsidRDefault="00CD44DE" w:rsidP="00CD44DE">
      <w:pPr>
        <w:jc w:val="center"/>
      </w:pPr>
      <w:r w:rsidRPr="000F1EA3">
        <w:rPr>
          <w:noProof/>
          <w:lang w:val="en-GB" w:eastAsia="en-GB" w:bidi="pa-IN"/>
        </w:rPr>
        <w:drawing>
          <wp:inline distT="0" distB="0" distL="0" distR="0">
            <wp:extent cx="3400425" cy="2234505"/>
            <wp:effectExtent l="0" t="0" r="0" b="0"/>
            <wp:docPr id="20" name="Obraz 20" descr="D:\PUBLIKACJE MOJE sony\ACSSC&amp;E\Figs\PO GIMP\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UBLIKACJE MOJE sony\ACSSC&amp;E\Figs\PO GIMP\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5371" cy="2237755"/>
                    </a:xfrm>
                    <a:prstGeom prst="rect">
                      <a:avLst/>
                    </a:prstGeom>
                    <a:noFill/>
                    <a:ln>
                      <a:noFill/>
                    </a:ln>
                  </pic:spPr>
                </pic:pic>
              </a:graphicData>
            </a:graphic>
          </wp:inline>
        </w:drawing>
      </w:r>
    </w:p>
    <w:p w:rsidR="00EC78B7" w:rsidRPr="000F1EA3" w:rsidRDefault="00602A6E" w:rsidP="00EC78B7">
      <w:pPr>
        <w:pStyle w:val="VAFigureCaption"/>
      </w:pPr>
      <w:r w:rsidRPr="000F1EA3">
        <w:rPr>
          <w:b/>
        </w:rPr>
        <w:t xml:space="preserve">Figure </w:t>
      </w:r>
      <w:r w:rsidR="00055558" w:rsidRPr="000F1EA3">
        <w:rPr>
          <w:b/>
        </w:rPr>
        <w:t>3</w:t>
      </w:r>
      <w:r w:rsidR="00EC78B7" w:rsidRPr="000F1EA3">
        <w:rPr>
          <w:bCs/>
        </w:rPr>
        <w:t>.</w:t>
      </w:r>
      <w:r w:rsidR="00EC78B7" w:rsidRPr="000F1EA3">
        <w:t xml:space="preserve"> </w:t>
      </w:r>
      <w:r w:rsidR="00C42AC5" w:rsidRPr="000F1EA3">
        <w:t>Yield</w:t>
      </w:r>
      <w:r w:rsidR="00EC78B7" w:rsidRPr="000F1EA3">
        <w:t xml:space="preserve"> of precipitate formed after adding water to RCLF and ECLF.</w:t>
      </w:r>
    </w:p>
    <w:p w:rsidR="001C0C63" w:rsidRPr="000F1EA3" w:rsidRDefault="001C0C63" w:rsidP="001C0C63">
      <w:pPr>
        <w:pStyle w:val="TAMainText"/>
      </w:pPr>
      <w:r w:rsidRPr="000F1EA3">
        <w:t xml:space="preserve">It is worth noting that, RCP60 and RCP100 have a light beige color while RCP140 has a dark brown </w:t>
      </w:r>
      <w:proofErr w:type="spellStart"/>
      <w:r w:rsidRPr="000F1EA3">
        <w:t>colour</w:t>
      </w:r>
      <w:proofErr w:type="spellEnd"/>
      <w:r w:rsidRPr="000F1EA3">
        <w:t xml:space="preserve"> (</w:t>
      </w:r>
      <w:r w:rsidR="008E2CB8" w:rsidRPr="000F1EA3">
        <w:t>Figure</w:t>
      </w:r>
      <w:r w:rsidRPr="000F1EA3">
        <w:t xml:space="preserve"> </w:t>
      </w:r>
      <w:r w:rsidR="00602A6E" w:rsidRPr="000F1EA3">
        <w:t>S</w:t>
      </w:r>
      <w:r w:rsidR="00055558" w:rsidRPr="000F1EA3">
        <w:t>2</w:t>
      </w:r>
      <w:r w:rsidRPr="000F1EA3">
        <w:t xml:space="preserve">d). As shown in </w:t>
      </w:r>
      <w:r w:rsidR="008E2CB8" w:rsidRPr="000F1EA3">
        <w:t>Figure</w:t>
      </w:r>
      <w:r w:rsidRPr="000F1EA3">
        <w:t xml:space="preserve"> </w:t>
      </w:r>
      <w:r w:rsidR="00602A6E" w:rsidRPr="000F1EA3">
        <w:t>S</w:t>
      </w:r>
      <w:r w:rsidR="00055558" w:rsidRPr="000F1EA3">
        <w:t>2</w:t>
      </w:r>
      <w:r w:rsidRPr="000F1EA3">
        <w:t xml:space="preserve">e, biomass residue obtained after treatment at 140 °C (RCBR140) also has a brown color, while </w:t>
      </w:r>
      <w:proofErr w:type="spellStart"/>
      <w:r w:rsidRPr="000F1EA3">
        <w:t>colour</w:t>
      </w:r>
      <w:proofErr w:type="spellEnd"/>
      <w:r w:rsidRPr="000F1EA3">
        <w:t xml:space="preserve"> of RCBR60 and RCBR100 is similar to the RC (green-black) (Fig</w:t>
      </w:r>
      <w:r w:rsidR="008E2CB8" w:rsidRPr="000F1EA3">
        <w:t>ure</w:t>
      </w:r>
      <w:r w:rsidRPr="000F1EA3">
        <w:t xml:space="preserve"> </w:t>
      </w:r>
      <w:r w:rsidR="00602A6E" w:rsidRPr="000F1EA3">
        <w:t>S</w:t>
      </w:r>
      <w:r w:rsidR="00055558" w:rsidRPr="000F1EA3">
        <w:t>2</w:t>
      </w:r>
      <w:r w:rsidRPr="000F1EA3">
        <w:t xml:space="preserve">a). These changes are probably the result of reactions occurring during high temperature (non-enzymatic browning), such as </w:t>
      </w:r>
      <w:proofErr w:type="spellStart"/>
      <w:r w:rsidRPr="000F1EA3">
        <w:t>Maillard’s</w:t>
      </w:r>
      <w:proofErr w:type="spellEnd"/>
      <w:r w:rsidRPr="000F1EA3">
        <w:t xml:space="preserve"> reaction. All precipitates obtained from evening primrose (ECP60, ECP100 and ECP140) as well as biomass residue (ECBR, ECBR100 and ECBR140) have a brown color, close to the starting feedstock (EC) (Fig</w:t>
      </w:r>
      <w:r w:rsidR="008E2CB8" w:rsidRPr="000F1EA3">
        <w:t>ure</w:t>
      </w:r>
      <w:r w:rsidR="00602A6E" w:rsidRPr="000F1EA3">
        <w:t>s S</w:t>
      </w:r>
      <w:r w:rsidR="00055558" w:rsidRPr="000F1EA3">
        <w:t>2</w:t>
      </w:r>
      <w:r w:rsidRPr="000F1EA3">
        <w:t>a, d, e).</w:t>
      </w:r>
    </w:p>
    <w:p w:rsidR="00CB05AA" w:rsidRPr="000F1EA3" w:rsidRDefault="001C0C63" w:rsidP="001C0C63">
      <w:pPr>
        <w:pStyle w:val="TAMainText"/>
      </w:pPr>
      <w:r w:rsidRPr="000F1EA3">
        <w:t xml:space="preserve">It </w:t>
      </w:r>
      <w:proofErr w:type="gramStart"/>
      <w:r w:rsidRPr="000F1EA3">
        <w:t>is well known</w:t>
      </w:r>
      <w:proofErr w:type="gramEnd"/>
      <w:r w:rsidRPr="000F1EA3">
        <w:t xml:space="preserve"> that </w:t>
      </w:r>
      <w:proofErr w:type="spellStart"/>
      <w:r w:rsidRPr="000F1EA3">
        <w:t>proanthocyanidin</w:t>
      </w:r>
      <w:proofErr w:type="spellEnd"/>
      <w:r w:rsidRPr="000F1EA3">
        <w:t xml:space="preserve"> (PA, also known as condensed tannin) is frequently responsible for pigmentation in mature plant tissues, particularly in the seed coat. During seed </w:t>
      </w:r>
      <w:proofErr w:type="gramStart"/>
      <w:r w:rsidRPr="000F1EA3">
        <w:t>maturation</w:t>
      </w:r>
      <w:proofErr w:type="gramEnd"/>
      <w:r w:rsidRPr="000F1EA3">
        <w:t xml:space="preserve"> the initially </w:t>
      </w:r>
      <w:proofErr w:type="spellStart"/>
      <w:r w:rsidRPr="000F1EA3">
        <w:t>colourless</w:t>
      </w:r>
      <w:proofErr w:type="spellEnd"/>
      <w:r w:rsidRPr="000F1EA3">
        <w:t xml:space="preserve"> PA undergoes secondary changes causes seed coat darkening. </w:t>
      </w:r>
      <w:r w:rsidRPr="000F1EA3">
        <w:lastRenderedPageBreak/>
        <w:t xml:space="preserve">These changes are the result of the formation of </w:t>
      </w:r>
      <w:proofErr w:type="spellStart"/>
      <w:r w:rsidRPr="000F1EA3">
        <w:t>oxidised</w:t>
      </w:r>
      <w:proofErr w:type="spellEnd"/>
      <w:r w:rsidRPr="000F1EA3">
        <w:t xml:space="preserve"> complexes of PA with the cell wall, polysaccharides and other </w:t>
      </w:r>
      <w:proofErr w:type="spellStart"/>
      <w:r w:rsidRPr="000F1EA3">
        <w:t>phenolics</w:t>
      </w:r>
      <w:proofErr w:type="spellEnd"/>
      <w:r w:rsidRPr="000F1EA3">
        <w:t xml:space="preserve"> in the seed coat.</w:t>
      </w:r>
      <w:r w:rsidR="00977C81" w:rsidRPr="000F1EA3">
        <w:rPr>
          <w:vertAlign w:val="superscript"/>
        </w:rPr>
        <w:t>47</w:t>
      </w:r>
    </w:p>
    <w:p w:rsidR="001C0C63" w:rsidRPr="000F1EA3" w:rsidRDefault="001C0C63" w:rsidP="001C0C63">
      <w:pPr>
        <w:pStyle w:val="TAMainText"/>
        <w:ind w:firstLine="0"/>
        <w:rPr>
          <w:b/>
        </w:rPr>
      </w:pPr>
      <w:r w:rsidRPr="000F1EA3">
        <w:rPr>
          <w:b/>
        </w:rPr>
        <w:t xml:space="preserve">Analysis of </w:t>
      </w:r>
      <w:r w:rsidR="00D30BBE" w:rsidRPr="000F1EA3">
        <w:rPr>
          <w:b/>
        </w:rPr>
        <w:t>Products Obtained A</w:t>
      </w:r>
      <w:r w:rsidRPr="000F1EA3">
        <w:rPr>
          <w:b/>
        </w:rPr>
        <w:t>fte</w:t>
      </w:r>
      <w:r w:rsidR="00D30BBE" w:rsidRPr="000F1EA3">
        <w:rPr>
          <w:b/>
        </w:rPr>
        <w:t>r DES P</w:t>
      </w:r>
      <w:r w:rsidRPr="000F1EA3">
        <w:rPr>
          <w:b/>
        </w:rPr>
        <w:t>retreatment</w:t>
      </w:r>
    </w:p>
    <w:p w:rsidR="000B4E7E" w:rsidRPr="000F1EA3" w:rsidRDefault="00D30BBE" w:rsidP="00450094">
      <w:pPr>
        <w:pStyle w:val="TAMainText"/>
      </w:pPr>
      <w:r w:rsidRPr="000F1EA3">
        <w:rPr>
          <w:rFonts w:eastAsiaTheme="minorHAnsi"/>
          <w:b/>
        </w:rPr>
        <w:t>Solid S</w:t>
      </w:r>
      <w:r w:rsidR="001C0C63" w:rsidRPr="000F1EA3">
        <w:rPr>
          <w:rFonts w:eastAsiaTheme="minorHAnsi"/>
          <w:b/>
        </w:rPr>
        <w:t xml:space="preserve">tate </w:t>
      </w:r>
      <w:r w:rsidR="001C0C63" w:rsidRPr="000F1EA3">
        <w:rPr>
          <w:rFonts w:eastAsiaTheme="minorHAnsi"/>
          <w:b/>
          <w:vertAlign w:val="superscript"/>
        </w:rPr>
        <w:t>13</w:t>
      </w:r>
      <w:r w:rsidRPr="000F1EA3">
        <w:rPr>
          <w:rFonts w:eastAsiaTheme="minorHAnsi"/>
          <w:b/>
        </w:rPr>
        <w:t>C CP-MAS NMR A</w:t>
      </w:r>
      <w:r w:rsidR="001C0C63" w:rsidRPr="000F1EA3">
        <w:rPr>
          <w:rFonts w:eastAsiaTheme="minorHAnsi"/>
          <w:b/>
        </w:rPr>
        <w:t>nalysis.</w:t>
      </w:r>
      <w:r w:rsidR="001C0C63" w:rsidRPr="000F1EA3">
        <w:rPr>
          <w:rStyle w:val="RSCB08CHeadingIn-lineChar"/>
        </w:rPr>
        <w:t xml:space="preserve"> </w:t>
      </w:r>
      <w:r w:rsidR="001C0C63" w:rsidRPr="000F1EA3">
        <w:rPr>
          <w:vertAlign w:val="superscript"/>
        </w:rPr>
        <w:t>13</w:t>
      </w:r>
      <w:r w:rsidR="001C0C63" w:rsidRPr="000F1EA3">
        <w:t xml:space="preserve">C CP-MAS spectra of the oil cakes (RC and EC), biomass residues (RCBRs and ECBRs) and precipitates (RCP and ECP) </w:t>
      </w:r>
      <w:proofErr w:type="gramStart"/>
      <w:r w:rsidR="001C0C63" w:rsidRPr="000F1EA3">
        <w:t>are shown</w:t>
      </w:r>
      <w:proofErr w:type="gramEnd"/>
      <w:r w:rsidR="001C0C63" w:rsidRPr="000F1EA3">
        <w:t xml:space="preserve"> in Fig</w:t>
      </w:r>
      <w:r w:rsidR="00C52A60" w:rsidRPr="000F1EA3">
        <w:t>ure</w:t>
      </w:r>
      <w:r w:rsidR="001C0C63" w:rsidRPr="000F1EA3">
        <w:t xml:space="preserve"> </w:t>
      </w:r>
      <w:r w:rsidR="00AA3B04" w:rsidRPr="000F1EA3">
        <w:t>4</w:t>
      </w:r>
      <w:r w:rsidR="001C0C63" w:rsidRPr="000F1EA3">
        <w:t xml:space="preserve">. </w:t>
      </w:r>
    </w:p>
    <w:p w:rsidR="000B4E7E" w:rsidRPr="000F1EA3" w:rsidRDefault="000B4E7E" w:rsidP="000B4E7E">
      <w:pPr>
        <w:jc w:val="center"/>
        <w:rPr>
          <w:rFonts w:ascii="Times New Roman" w:hAnsi="Times New Roman"/>
          <w:snapToGrid w:val="0"/>
          <w:w w:val="0"/>
          <w:sz w:val="0"/>
          <w:szCs w:val="0"/>
          <w:u w:color="000000"/>
          <w:bdr w:val="none" w:sz="0" w:space="0" w:color="000000"/>
          <w:shd w:val="clear" w:color="000000" w:fill="000000"/>
          <w:lang w:val="x-none" w:eastAsia="x-none" w:bidi="x-none"/>
        </w:rPr>
      </w:pPr>
      <w:r w:rsidRPr="000F1EA3">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946620" w:rsidRPr="000F1EA3" w:rsidRDefault="00946620" w:rsidP="000B4E7E">
      <w:pPr>
        <w:jc w:val="center"/>
      </w:pPr>
      <w:r w:rsidRPr="000F1EA3">
        <w:rPr>
          <w:noProof/>
          <w:lang w:val="en-GB" w:eastAsia="en-GB" w:bidi="pa-IN"/>
        </w:rPr>
        <w:drawing>
          <wp:inline distT="0" distB="0" distL="0" distR="0">
            <wp:extent cx="3943350" cy="2772668"/>
            <wp:effectExtent l="0" t="0" r="0" b="8890"/>
            <wp:docPr id="8" name="Obraz 8" descr="D:\PUBLIKACJE MOJE sony\ACSSC&amp;E\do wysłania\Po POPRAWKACH\Figs NEW\RC NMR without  de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UBLIKACJE MOJE sony\ACSSC&amp;E\do wysłania\Po POPRAWKACH\Figs NEW\RC NMR without  des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2085" cy="2778810"/>
                    </a:xfrm>
                    <a:prstGeom prst="rect">
                      <a:avLst/>
                    </a:prstGeom>
                    <a:noFill/>
                    <a:ln>
                      <a:noFill/>
                    </a:ln>
                  </pic:spPr>
                </pic:pic>
              </a:graphicData>
            </a:graphic>
          </wp:inline>
        </w:drawing>
      </w:r>
      <w:r w:rsidRPr="000F1EA3">
        <w:rPr>
          <w:noProof/>
          <w:lang w:val="en-GB" w:eastAsia="en-GB" w:bidi="pa-IN"/>
        </w:rPr>
        <w:drawing>
          <wp:inline distT="0" distB="0" distL="0" distR="0">
            <wp:extent cx="3803374" cy="2733675"/>
            <wp:effectExtent l="0" t="0" r="6985" b="0"/>
            <wp:docPr id="9" name="Obraz 9" descr="D:\PUBLIKACJE MOJE sony\ACSSC&amp;E\do wysłania\Po POPRAWKACH\Figs NEW\EC NMR without  de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UBLIKACJE MOJE sony\ACSSC&amp;E\do wysłania\Po POPRAWKACH\Figs NEW\EC NMR without  des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1864" cy="2739777"/>
                    </a:xfrm>
                    <a:prstGeom prst="rect">
                      <a:avLst/>
                    </a:prstGeom>
                    <a:noFill/>
                    <a:ln>
                      <a:noFill/>
                    </a:ln>
                  </pic:spPr>
                </pic:pic>
              </a:graphicData>
            </a:graphic>
          </wp:inline>
        </w:drawing>
      </w:r>
    </w:p>
    <w:p w:rsidR="000B4E7E" w:rsidRPr="000F1EA3" w:rsidRDefault="00602A6E" w:rsidP="008335F3">
      <w:pPr>
        <w:pStyle w:val="VAFigureCaption"/>
      </w:pPr>
      <w:r w:rsidRPr="000F1EA3">
        <w:rPr>
          <w:b/>
        </w:rPr>
        <w:t xml:space="preserve">Figure </w:t>
      </w:r>
      <w:r w:rsidR="00B57DD3" w:rsidRPr="000F1EA3">
        <w:rPr>
          <w:b/>
        </w:rPr>
        <w:t>4</w:t>
      </w:r>
      <w:r w:rsidR="008335F3" w:rsidRPr="000F1EA3">
        <w:rPr>
          <w:b/>
        </w:rPr>
        <w:t>.</w:t>
      </w:r>
      <w:r w:rsidR="008335F3" w:rsidRPr="000F1EA3">
        <w:t xml:space="preserve"> </w:t>
      </w:r>
      <w:r w:rsidR="00C42AC5" w:rsidRPr="000F1EA3">
        <w:t xml:space="preserve">Solid State </w:t>
      </w:r>
      <w:r w:rsidR="008335F3" w:rsidRPr="000F1EA3">
        <w:rPr>
          <w:vertAlign w:val="superscript"/>
        </w:rPr>
        <w:t>13</w:t>
      </w:r>
      <w:r w:rsidR="00C42AC5" w:rsidRPr="000F1EA3">
        <w:t>C CP</w:t>
      </w:r>
      <w:r w:rsidR="008335F3" w:rsidRPr="000F1EA3">
        <w:t xml:space="preserve">MAS NMR spectra of RC, RCBRs, RCPs (a) and EC, ECBRs, ECPs (b) samples. </w:t>
      </w:r>
    </w:p>
    <w:p w:rsidR="00450094" w:rsidRPr="000F1EA3" w:rsidRDefault="001C0C63" w:rsidP="000B4E7E">
      <w:pPr>
        <w:pStyle w:val="TAMainText"/>
        <w:ind w:firstLine="0"/>
      </w:pPr>
      <w:r w:rsidRPr="000F1EA3">
        <w:lastRenderedPageBreak/>
        <w:t xml:space="preserve">The observed </w:t>
      </w:r>
      <w:r w:rsidRPr="000F1EA3">
        <w:rPr>
          <w:vertAlign w:val="superscript"/>
        </w:rPr>
        <w:t>13</w:t>
      </w:r>
      <w:r w:rsidRPr="000F1EA3">
        <w:t xml:space="preserve">C chemical shifts together with their assignment of peaks </w:t>
      </w:r>
      <w:proofErr w:type="gramStart"/>
      <w:r w:rsidRPr="000F1EA3">
        <w:t>are summarized</w:t>
      </w:r>
      <w:proofErr w:type="gramEnd"/>
      <w:r w:rsidRPr="000F1EA3">
        <w:t xml:space="preserve"> in Table </w:t>
      </w:r>
      <w:r w:rsidR="00CB63C7" w:rsidRPr="000F1EA3">
        <w:t>S2</w:t>
      </w:r>
      <w:r w:rsidRPr="000F1EA3">
        <w:t xml:space="preserve">. </w:t>
      </w:r>
      <w:proofErr w:type="gramStart"/>
      <w:r w:rsidRPr="000F1EA3">
        <w:t>The spectra for the oil cakes</w:t>
      </w:r>
      <w:r w:rsidR="00450094" w:rsidRPr="000F1EA3">
        <w:t xml:space="preserve"> (RC and EC) and biomass residues (RCBRs and ECBRs) show characteristic signals for cellulose and other structural polysaccharides (hemicellulose, pectin) carbons at 105 (C1), 89-84 (C4), 76-70 (C2,3,5) and 66-61 (C6) ppm.</w:t>
      </w:r>
      <w:r w:rsidR="00326830" w:rsidRPr="000F1EA3">
        <w:rPr>
          <w:vertAlign w:val="superscript"/>
        </w:rPr>
        <w:t>48-51</w:t>
      </w:r>
      <w:r w:rsidR="00450094" w:rsidRPr="000F1EA3">
        <w:t xml:space="preserve"> </w:t>
      </w:r>
      <w:r w:rsidR="00BB48BF" w:rsidRPr="000F1EA3">
        <w:t>The</w:t>
      </w:r>
      <w:r w:rsidR="00450094" w:rsidRPr="000F1EA3">
        <w:t xml:space="preserve"> spectra also show a broad signal of the carbonyl group (179-172 ppm), which can be derived from protein, </w:t>
      </w:r>
      <w:proofErr w:type="spellStart"/>
      <w:r w:rsidR="00450094" w:rsidRPr="000F1EA3">
        <w:t>pectinaceous</w:t>
      </w:r>
      <w:proofErr w:type="spellEnd"/>
      <w:r w:rsidR="00450094" w:rsidRPr="000F1EA3">
        <w:t xml:space="preserve"> matter, hemicellulose and lignin.</w:t>
      </w:r>
      <w:r w:rsidR="00326830" w:rsidRPr="000F1EA3">
        <w:rPr>
          <w:vertAlign w:val="superscript"/>
        </w:rPr>
        <w:t>50-52</w:t>
      </w:r>
      <w:r w:rsidR="00450094" w:rsidRPr="000F1EA3">
        <w:t xml:space="preserve"> Compared to the oil cakes, in the spectra of BRs the carbonyl signal intensity decreases and the signals characteristic for cellulosic matter increases.</w:t>
      </w:r>
      <w:proofErr w:type="gramEnd"/>
      <w:r w:rsidR="00450094" w:rsidRPr="000F1EA3">
        <w:t xml:space="preserve"> These differences are more evident in the case of evening primrose (Fig</w:t>
      </w:r>
      <w:r w:rsidR="00B366F3" w:rsidRPr="000F1EA3">
        <w:t>ure</w:t>
      </w:r>
      <w:r w:rsidR="00CF7B84" w:rsidRPr="000F1EA3">
        <w:t xml:space="preserve"> </w:t>
      </w:r>
      <w:r w:rsidR="007434F2" w:rsidRPr="000F1EA3">
        <w:t>4</w:t>
      </w:r>
      <w:r w:rsidR="00450094" w:rsidRPr="000F1EA3">
        <w:t>b), where it is also observed that the intensity of the C=O signal decreases with the increasing extraction temperature.</w:t>
      </w:r>
    </w:p>
    <w:p w:rsidR="00450094" w:rsidRPr="000F1EA3" w:rsidRDefault="00450094" w:rsidP="00450094">
      <w:pPr>
        <w:pStyle w:val="TAMainText"/>
      </w:pPr>
      <w:r w:rsidRPr="000F1EA3">
        <w:t>In the precipitates (RCPs and ECPs), while the intensity of the carbonyl group (179-172 ppm) increased, cellulose C1 signal at 105 ppm disappeared (ECPs) or was drastically reduced (RCPs). Similarly, the intensities of signals assigned to C2, C4, C5, and C6 of structural polysaccharides sugar units decreased compared to the corresponding spectra of oil cakes. The signal at 160-112 ppm in the spectra of precipitates indicates the presence of aromatic carbons, which may come from aromatic side chains of amino acids and from lignin.</w:t>
      </w:r>
      <w:r w:rsidR="00326830" w:rsidRPr="000F1EA3">
        <w:rPr>
          <w:vertAlign w:val="superscript"/>
        </w:rPr>
        <w:t>50-52</w:t>
      </w:r>
      <w:r w:rsidRPr="000F1EA3">
        <w:t xml:space="preserve"> Aromatic </w:t>
      </w:r>
      <w:proofErr w:type="gramStart"/>
      <w:r w:rsidRPr="000F1EA3">
        <w:t>C</w:t>
      </w:r>
      <w:proofErr w:type="gramEnd"/>
      <w:r w:rsidRPr="000F1EA3">
        <w:t xml:space="preserve"> signals are more evident in ECPs than RCPs. </w:t>
      </w:r>
      <w:proofErr w:type="gramStart"/>
      <w:r w:rsidRPr="000F1EA3">
        <w:t>The carbon signals recorded between 86 ppm and 72 ppm can be assigned to Cα/β-OR of lignin.</w:t>
      </w:r>
      <w:r w:rsidR="00326830" w:rsidRPr="000F1EA3">
        <w:rPr>
          <w:vertAlign w:val="superscript"/>
        </w:rPr>
        <w:t>53,54</w:t>
      </w:r>
      <w:r w:rsidRPr="000F1EA3">
        <w:t xml:space="preserve"> In RCPs and ECPs spectra signals at 65-48 ppm can be assigned to α-carbons in protein and at 56-54</w:t>
      </w:r>
      <w:r w:rsidR="00BB48BF" w:rsidRPr="000F1EA3">
        <w:t xml:space="preserve"> ppm</w:t>
      </w:r>
      <w:r w:rsidR="00326830" w:rsidRPr="000F1EA3">
        <w:rPr>
          <w:vertAlign w:val="superscript"/>
        </w:rPr>
        <w:t>51,55,56</w:t>
      </w:r>
      <w:r w:rsidR="00BB48BF" w:rsidRPr="000F1EA3">
        <w:t xml:space="preserve"> </w:t>
      </w:r>
      <w:r w:rsidRPr="000F1EA3">
        <w:t>to CH</w:t>
      </w:r>
      <w:r w:rsidRPr="000F1EA3">
        <w:rPr>
          <w:vertAlign w:val="subscript"/>
        </w:rPr>
        <w:t>3</w:t>
      </w:r>
      <w:r w:rsidRPr="000F1EA3">
        <w:t>O in lignin.</w:t>
      </w:r>
      <w:r w:rsidR="00326830" w:rsidRPr="000F1EA3">
        <w:rPr>
          <w:vertAlign w:val="superscript"/>
        </w:rPr>
        <w:t>50-54</w:t>
      </w:r>
      <w:r w:rsidRPr="000F1EA3">
        <w:t xml:space="preserve"> The carbon signals recorded at 32-10 ppm are associated to the alkyl groups of the side chains of amino acids residues and aliphatic carbons in lignin.</w:t>
      </w:r>
      <w:r w:rsidR="00326830" w:rsidRPr="000F1EA3">
        <w:rPr>
          <w:vertAlign w:val="superscript"/>
        </w:rPr>
        <w:t>50-53</w:t>
      </w:r>
      <w:r w:rsidRPr="000F1EA3">
        <w:t xml:space="preserve"> It is worth noting that the intensity of these signals in the RCPs and ECPs spectra is greater than in the case of BRs and oil cakes.</w:t>
      </w:r>
      <w:proofErr w:type="gramEnd"/>
      <w:r w:rsidRPr="000F1EA3">
        <w:t xml:space="preserve"> No significant differences </w:t>
      </w:r>
      <w:proofErr w:type="gramStart"/>
      <w:r w:rsidRPr="000F1EA3">
        <w:t>were observed</w:t>
      </w:r>
      <w:proofErr w:type="gramEnd"/>
      <w:r w:rsidRPr="000F1EA3">
        <w:t xml:space="preserve"> in the spectra of the precipitates obtained during extraction at different temperatures.</w:t>
      </w:r>
    </w:p>
    <w:p w:rsidR="00450094" w:rsidRPr="000F1EA3" w:rsidRDefault="00450094" w:rsidP="00450094">
      <w:pPr>
        <w:pStyle w:val="TAMainText"/>
      </w:pPr>
      <w:r w:rsidRPr="000F1EA3">
        <w:lastRenderedPageBreak/>
        <w:t xml:space="preserve">NMR data indicate that the ECPs and RCPs contains both </w:t>
      </w:r>
      <w:proofErr w:type="spellStart"/>
      <w:r w:rsidRPr="000F1EA3">
        <w:t>proteinaceous</w:t>
      </w:r>
      <w:proofErr w:type="spellEnd"/>
      <w:r w:rsidRPr="000F1EA3">
        <w:t xml:space="preserve"> and lignin matter. RCPs may also contain small amounts of carbohydrates. It has been proven that some DES has the unique capability to selectively extract lignin and hemicellulose from </w:t>
      </w:r>
      <w:proofErr w:type="spellStart"/>
      <w:r w:rsidRPr="000F1EA3">
        <w:t>lignocellulosic</w:t>
      </w:r>
      <w:proofErr w:type="spellEnd"/>
      <w:r w:rsidRPr="000F1EA3">
        <w:t xml:space="preserve"> biomass while cellulose being retained in the residue.</w:t>
      </w:r>
      <w:r w:rsidRPr="000F1EA3">
        <w:fldChar w:fldCharType="begin" w:fldLock="1"/>
      </w:r>
      <w:r w:rsidR="00021D26" w:rsidRPr="000F1EA3">
        <w:instrText>ADDIN CSL_CITATION { "citationItems" : [ { "id" : "ITEM-1", "itemData" : { "DOI" : "10.1039/C6GC01007E", "ISBN" : "1463-9262", "ISSN" : "1463-9262", "abstract" : "This paper reports a new method of applying Deep Eutectic Solvents (DES) for extracting lignin from woody biomass with high yield and high purity. DES mixtures prepared from choline chloride (ChCl) and four hydrogen-bond donors \u2013 acetic acid, lactic acid, levulinic acid and glycerol \u2013 were evaluated for treatment of hardwood (poplar) and softwood (D. fir). It was found that these DES treatments can selectively extract a significant amount of lignin from wood with high yields: 78% from poplar and 58% from D. fir. The extracted lignin has high purity (95%) with unique structural properties. We discover that DES can selectively cleave ether linkages in wood lignin and facilitate lignin removal from wood. The mechanism of DES cleavage of ether bonds between phenylpropane units was investigated. The results from this study demonstrate that DES is a promising solvent for wood delignification and the production of a new source of lignin with promising potential applications.", "author" : [ { "dropping-particle" : "", "family" : "Alvarez-Vasco", "given" : "Carlos", "non-dropping-particle" : "", "parse-names" : false, "suffix" : "" }, { "dropping-particle" : "", "family" : "Ma", "given" : "Ruoshui", "non-dropping-particle" : "", "parse-names" : false, "suffix" : "" }, { "dropping-particle" : "", "family" : "Quintero", "given" : "Melissa", "non-dropping-particle" : "", "parse-names" : false, "suffix" : "" }, { "dropping-particle" : "", "family" : "Guo", "given" : "Mond", "non-dropping-particle" : "", "parse-names" : false, "suffix" : "" }, { "dropping-particle" : "", "family" : "Geleynse", "given" : "Scott", "non-dropping-particle" : "", "parse-names" : false, "suffix" : "" }, { "dropping-particle" : "", "family" : "Ramasamy", "given" : "Karthikeyan K.", "non-dropping-particle" : "", "parse-names" : false, "suffix" : "" }, { "dropping-particle" : "", "family" : "Wolcott", "given" : "Michael", "non-dropping-particle" : "", "parse-names" : false, "suffix" : "" }, { "dropping-particle" : "", "family" : "Zhang", "given" : "Xiao", "non-dropping-particle" : "", "parse-names" : false, "suffix" : "" } ], "container-title" : "Green Chem.", "id" : "ITEM-1", "issued" : { "date-parts" : [ [ "2016" ] ] }, "page" : "5133-5141", "publisher" : "Royal Society of Chemistry", "title" : "Unique low-molecular-weight lignin with high purity extracted from wood by deep eutectic solvents (DES): a source of lignin for valorization", "type" : "article-journal", "volume" : "18" }, "uris" : [ "http://www.mendeley.com/documents/?uuid=7f76e17a-54a0-4e44-a8e7-b5ad5ccd0c19" ] } ], "mendeley" : { "formattedCitation" : "&lt;sup&gt;37&lt;/sup&gt;", "plainTextFormattedCitation" : "37", "previouslyFormattedCitation" : "&lt;sup&gt;37&lt;/sup&gt;" }, "properties" : { "noteIndex" : 0 }, "schema" : "https://github.com/citation-style-language/schema/raw/master/csl-citation.json" }</w:instrText>
      </w:r>
      <w:r w:rsidRPr="000F1EA3">
        <w:fldChar w:fldCharType="separate"/>
      </w:r>
      <w:r w:rsidR="00021D26" w:rsidRPr="000F1EA3">
        <w:rPr>
          <w:noProof/>
          <w:vertAlign w:val="superscript"/>
        </w:rPr>
        <w:t>37</w:t>
      </w:r>
      <w:r w:rsidRPr="000F1EA3">
        <w:fldChar w:fldCharType="end"/>
      </w:r>
      <w:r w:rsidRPr="000F1EA3">
        <w:rPr>
          <w:vertAlign w:val="superscript"/>
        </w:rPr>
        <w:t>,</w:t>
      </w:r>
      <w:r w:rsidRPr="000F1EA3">
        <w:fldChar w:fldCharType="begin" w:fldLock="1"/>
      </w:r>
      <w:r w:rsidR="008D3CF3" w:rsidRPr="000F1EA3">
        <w:instrText>ADDIN CSL_CITATION { "citationItems" : [ { "id" : "ITEM-1", "itemData" : { "DOI" : "10.1002/cssc.201601795", "ISBN" : "1864-564X", "ISSN" : "1864564X", "author" : [ { "dropping-particle" : "", "family" : "Liu", "given" : "Yongzhuang", "non-dropping-particle" : "", "parse-names" : false, "suffix" : "" }, { "dropping-particle" : "", "family" : "Chen", "given" : "Wenshuai", "non-dropping-particle" : "", "parse-names" : false, "suffix" : "" }, { "dropping-particle" : "", "family" : "Xia", "given" : "Qinqin", "non-dropping-particle" : "", "parse-names" : false, "suffix" : "" }, { "dropping-particle" : "", "family" : "Guo", "given" : "Bingtuo", "non-dropping-particle" : "", "parse-names" : false, "suffix" : "" }, { "dropping-particle" : "", "family" : "Wang", "given" : "Qingwen", "non-dropping-particle" : "", "parse-names" : false, "suffix" : "" }, { "dropping-particle" : "", "family" : "Liu", "given" : "Shouxin", "non-dropping-particle" : "", "parse-names" : false, "suffix" : "" }, { "dropping-particle" : "", "family" : "Liu", "given" : "Yixing", "non-dropping-particle" : "", "parse-names" : false, "suffix" : "" }, { "dropping-particle" : "", "family" : "Li", "given" : "Jian", "non-dropping-particle" : "", "parse-names" : false, "suffix" : "" }, { "dropping-particle" : "", "family" : "Yu", "given" : "Haipeng", "non-dropping-particle" : "", "parse-names" : false, "suffix" : "" } ], "container-title" : "ChemSusChem", "id" : "ITEM-1", "issue" : "8", "issued" : { "date-parts" : [ [ "2017" ] ] }, "page" : "1692-1700", "title" : "Efficient cleavage of lignin\u2013carbohydrate complexes and ultrafast extraction of lignin oligomers from wood biomass by microwave-assisted treatment with deep eutectic solvent", "type" : "article-journal", "volume" : "10" }, "uris" : [ "http://www.mendeley.com/documents/?uuid=ac25c2c1-6b66-4f70-939b-c7f35ba419af" ] } ], "mendeley" : { "formattedCitation" : "&lt;sup&gt;38&lt;/sup&gt;", "plainTextFormattedCitation" : "38", "previouslyFormattedCitation" : "&lt;sup&gt;38&lt;/sup&gt;" }, "properties" : { "noteIndex" : 0 }, "schema" : "https://github.com/citation-style-language/schema/raw/master/csl-citation.json" }</w:instrText>
      </w:r>
      <w:r w:rsidRPr="000F1EA3">
        <w:fldChar w:fldCharType="separate"/>
      </w:r>
      <w:r w:rsidR="00021D26" w:rsidRPr="000F1EA3">
        <w:rPr>
          <w:noProof/>
          <w:vertAlign w:val="superscript"/>
        </w:rPr>
        <w:t>38</w:t>
      </w:r>
      <w:r w:rsidRPr="000F1EA3">
        <w:fldChar w:fldCharType="end"/>
      </w:r>
      <w:r w:rsidRPr="000F1EA3">
        <w:rPr>
          <w:vertAlign w:val="superscript"/>
        </w:rPr>
        <w:t>,</w:t>
      </w:r>
      <w:r w:rsidRPr="000F1EA3">
        <w:fldChar w:fldCharType="begin" w:fldLock="1"/>
      </w:r>
      <w:r w:rsidR="00021D26" w:rsidRPr="000F1EA3">
        <w:instrText>ADDIN CSL_CITATION { "citationItems" : [ { "id" : "ITEM-1", "itemData" : { "DOI" : "10.1016/j.biortech.2017.11.066", "ISSN" : "18732976", "abstract" : "Deep eutectic solvents (DESs) have received increasing attention in recent years as designer solvents for bioprocessing. In this study, ultrafast microwave-assisted DES pretreatment was developed for lignocellulose fractionation. The pretreatment was conducted for 45 s with microwave irradiation at 800 W using a DES composed of choline chloride and lactic acid (ChCl: LA). The results indicated that such pretreatment was highly effective in removing lignin and xylan while retaining most of cellulose in the pretreated solids. The ultrafast fractionation increased the cellulose digestibility by 2\u20135 folds. Switchgrass gave a similar glucose yield to corn stover but experienced less cellulose loss during the pretreatment. Miscanthus was also substantially fractionated but showed lower digestibility than switchgrass and corn stover. Lignin was readily recoverable with relatively high purity from all the pretreatment liquor. Our study demonstrated an innovative ultrafast pretreatment process with superior effectiveness for biomass fractionation and cellulose digestibility improvement as well as lignin extraction.", "author" : [ { "dropping-particle" : "", "family" : "Chen", "given" : "Zhu", "non-dropping-particle" : "", "parse-names" : false, "suffix" : "" }, { "dropping-particle" : "", "family" : "Wan", "given" : "Caixia", "non-dropping-particle" : "", "parse-names" : false, "suffix" : "" } ], "container-title" : "Bioresource Technology", "id" : "ITEM-1", "issue" : "November 2017", "issued" : { "date-parts" : [ [ "2018" ] ] }, "page" : "532-537", "title" : "Ultrafast fractionation of lignocellulosic biomass by microwave-assisted deep eutectic solvent pretreatment", "type" : "article-journal", "volume" : "250" }, "uris" : [ "http://www.mendeley.com/documents/?uuid=19de558a-de42-4b0f-8131-3cdb1a2baff5" ] } ], "mendeley" : { "formattedCitation" : "&lt;sup&gt;43&lt;/sup&gt;", "plainTextFormattedCitation" : "43", "previouslyFormattedCitation" : "&lt;sup&gt;43&lt;/sup&gt;" }, "properties" : { "noteIndex" : 0 }, "schema" : "https://github.com/citation-style-language/schema/raw/master/csl-citation.json" }</w:instrText>
      </w:r>
      <w:r w:rsidRPr="000F1EA3">
        <w:fldChar w:fldCharType="separate"/>
      </w:r>
      <w:r w:rsidR="00021D26" w:rsidRPr="000F1EA3">
        <w:rPr>
          <w:noProof/>
          <w:vertAlign w:val="superscript"/>
        </w:rPr>
        <w:t>43</w:t>
      </w:r>
      <w:r w:rsidRPr="000F1EA3">
        <w:fldChar w:fldCharType="end"/>
      </w:r>
      <w:r w:rsidRPr="000F1EA3">
        <w:rPr>
          <w:vertAlign w:val="superscript"/>
        </w:rPr>
        <w:t>,</w:t>
      </w:r>
      <w:r w:rsidR="00A47916" w:rsidRPr="000F1EA3">
        <w:rPr>
          <w:vertAlign w:val="superscript"/>
        </w:rPr>
        <w:t>57</w:t>
      </w:r>
      <w:r w:rsidRPr="000F1EA3">
        <w:t xml:space="preserve"> The selective extraction of lignin alone or lignin and hemicellulose with DES described in the literature refers to biomass, such as wood,</w:t>
      </w:r>
      <w:r w:rsidRPr="000F1EA3">
        <w:fldChar w:fldCharType="begin" w:fldLock="1"/>
      </w:r>
      <w:r w:rsidR="00021D26" w:rsidRPr="000F1EA3">
        <w:instrText>ADDIN CSL_CITATION { "citationItems" : [ { "id" : "ITEM-1", "itemData" : { "DOI" : "10.1039/C6GC01007E", "ISBN" : "1463-9262", "ISSN" : "1463-9262", "abstract" : "This paper reports a new method of applying Deep Eutectic Solvents (DES) for extracting lignin from woody biomass with high yield and high purity. DES mixtures prepared from choline chloride (ChCl) and four hydrogen-bond donors \u2013 acetic acid, lactic acid, levulinic acid and glycerol \u2013 were evaluated for treatment of hardwood (poplar) and softwood (D. fir). It was found that these DES treatments can selectively extract a significant amount of lignin from wood with high yields: 78% from poplar and 58% from D. fir. The extracted lignin has high purity (95%) with unique structural properties. We discover that DES can selectively cleave ether linkages in wood lignin and facilitate lignin removal from wood. The mechanism of DES cleavage of ether bonds between phenylpropane units was investigated. The results from this study demonstrate that DES is a promising solvent for wood delignification and the production of a new source of lignin with promising potential applications.", "author" : [ { "dropping-particle" : "", "family" : "Alvarez-Vasco", "given" : "Carlos", "non-dropping-particle" : "", "parse-names" : false, "suffix" : "" }, { "dropping-particle" : "", "family" : "Ma", "given" : "Ruoshui", "non-dropping-particle" : "", "parse-names" : false, "suffix" : "" }, { "dropping-particle" : "", "family" : "Quintero", "given" : "Melissa", "non-dropping-particle" : "", "parse-names" : false, "suffix" : "" }, { "dropping-particle" : "", "family" : "Guo", "given" : "Mond", "non-dropping-particle" : "", "parse-names" : false, "suffix" : "" }, { "dropping-particle" : "", "family" : "Geleynse", "given" : "Scott", "non-dropping-particle" : "", "parse-names" : false, "suffix" : "" }, { "dropping-particle" : "", "family" : "Ramasamy", "given" : "Karthikeyan K.", "non-dropping-particle" : "", "parse-names" : false, "suffix" : "" }, { "dropping-particle" : "", "family" : "Wolcott", "given" : "Michael", "non-dropping-particle" : "", "parse-names" : false, "suffix" : "" }, { "dropping-particle" : "", "family" : "Zhang", "given" : "Xiao", "non-dropping-particle" : "", "parse-names" : false, "suffix" : "" } ], "container-title" : "Green Chem.", "id" : "ITEM-1", "issued" : { "date-parts" : [ [ "2016" ] ] }, "page" : "5133-5141", "publisher" : "Royal Society of Chemistry", "title" : "Unique low-molecular-weight lignin with high purity extracted from wood by deep eutectic solvents (DES): a source of lignin for valorization", "type" : "article-journal", "volume" : "18" }, "uris" : [ "http://www.mendeley.com/documents/?uuid=7f76e17a-54a0-4e44-a8e7-b5ad5ccd0c19" ] } ], "mendeley" : { "formattedCitation" : "&lt;sup&gt;37&lt;/sup&gt;", "plainTextFormattedCitation" : "37", "previouslyFormattedCitation" : "&lt;sup&gt;37&lt;/sup&gt;" }, "properties" : { "noteIndex" : 0 }, "schema" : "https://github.com/citation-style-language/schema/raw/master/csl-citation.json" }</w:instrText>
      </w:r>
      <w:r w:rsidRPr="000F1EA3">
        <w:fldChar w:fldCharType="separate"/>
      </w:r>
      <w:r w:rsidR="00021D26" w:rsidRPr="000F1EA3">
        <w:rPr>
          <w:noProof/>
          <w:vertAlign w:val="superscript"/>
        </w:rPr>
        <w:t>37</w:t>
      </w:r>
      <w:r w:rsidRPr="000F1EA3">
        <w:fldChar w:fldCharType="end"/>
      </w:r>
      <w:r w:rsidRPr="000F1EA3">
        <w:rPr>
          <w:vertAlign w:val="superscript"/>
        </w:rPr>
        <w:t>,</w:t>
      </w:r>
      <w:r w:rsidRPr="000F1EA3">
        <w:fldChar w:fldCharType="begin" w:fldLock="1"/>
      </w:r>
      <w:r w:rsidR="008D3CF3" w:rsidRPr="000F1EA3">
        <w:instrText>ADDIN CSL_CITATION { "citationItems" : [ { "id" : "ITEM-1", "itemData" : { "DOI" : "10.1002/cssc.201601795", "ISBN" : "1864-564X", "ISSN" : "1864564X", "author" : [ { "dropping-particle" : "", "family" : "Liu", "given" : "Yongzhuang", "non-dropping-particle" : "", "parse-names" : false, "suffix" : "" }, { "dropping-particle" : "", "family" : "Chen", "given" : "Wenshuai", "non-dropping-particle" : "", "parse-names" : false, "suffix" : "" }, { "dropping-particle" : "", "family" : "Xia", "given" : "Qinqin", "non-dropping-particle" : "", "parse-names" : false, "suffix" : "" }, { "dropping-particle" : "", "family" : "Guo", "given" : "Bingtuo", "non-dropping-particle" : "", "parse-names" : false, "suffix" : "" }, { "dropping-particle" : "", "family" : "Wang", "given" : "Qingwen", "non-dropping-particle" : "", "parse-names" : false, "suffix" : "" }, { "dropping-particle" : "", "family" : "Liu", "given" : "Shouxin", "non-dropping-particle" : "", "parse-names" : false, "suffix" : "" }, { "dropping-particle" : "", "family" : "Liu", "given" : "Yixing", "non-dropping-particle" : "", "parse-names" : false, "suffix" : "" }, { "dropping-particle" : "", "family" : "Li", "given" : "Jian", "non-dropping-particle" : "", "parse-names" : false, "suffix" : "" }, { "dropping-particle" : "", "family" : "Yu", "given" : "Haipeng", "non-dropping-particle" : "", "parse-names" : false, "suffix" : "" } ], "container-title" : "ChemSusChem", "id" : "ITEM-1", "issue" : "8", "issued" : { "date-parts" : [ [ "2017" ] ] }, "page" : "1692-1700", "title" : "Efficient cleavage of lignin\u2013carbohydrate complexes and ultrafast extraction of lignin oligomers from wood biomass by microwave-assisted treatment with deep eutectic solvent", "type" : "article-journal", "volume" : "10" }, "uris" : [ "http://www.mendeley.com/documents/?uuid=ac25c2c1-6b66-4f70-939b-c7f35ba419af" ] } ], "mendeley" : { "formattedCitation" : "&lt;sup&gt;38&lt;/sup&gt;", "plainTextFormattedCitation" : "38", "previouslyFormattedCitation" : "&lt;sup&gt;38&lt;/sup&gt;" }, "properties" : { "noteIndex" : 0 }, "schema" : "https://github.com/citation-style-language/schema/raw/master/csl-citation.json" }</w:instrText>
      </w:r>
      <w:r w:rsidRPr="000F1EA3">
        <w:fldChar w:fldCharType="separate"/>
      </w:r>
      <w:r w:rsidR="00021D26" w:rsidRPr="000F1EA3">
        <w:rPr>
          <w:noProof/>
          <w:vertAlign w:val="superscript"/>
        </w:rPr>
        <w:t>38</w:t>
      </w:r>
      <w:r w:rsidRPr="000F1EA3">
        <w:fldChar w:fldCharType="end"/>
      </w:r>
      <w:r w:rsidRPr="000F1EA3">
        <w:t xml:space="preserve"> rice straw,</w:t>
      </w:r>
      <w:r w:rsidR="00A47916" w:rsidRPr="000F1EA3">
        <w:rPr>
          <w:vertAlign w:val="superscript"/>
        </w:rPr>
        <w:t>58</w:t>
      </w:r>
      <w:r w:rsidRPr="000F1EA3">
        <w:t xml:space="preserve"> wheat straw</w:t>
      </w:r>
      <w:r w:rsidRPr="000F1EA3">
        <w:fldChar w:fldCharType="begin" w:fldLock="1"/>
      </w:r>
      <w:r w:rsidR="00021D26" w:rsidRPr="000F1EA3">
        <w:instrText>ADDIN CSL_CITATION { "citationItems" : [ { "id" : "ITEM-1", "itemData" : { "DOI" : "10.1039/c2gc35660k", "ISBN" : "1463-9262", "ISSN" : "1463-9262", "abstract" : "New natural and biorenewable solvents are prepared in this work consisting of high melting temperature starting materials that form low transition temperature mixtures (LTTMs). The physicochemical behaviour of these new solvents can be tailored by a judicious selection of the constituents' nature and ratio. Their suitability as solvents for lignocellulosic biomass processing is evaluated.", "author" : [ { "dropping-particle" : "", "family" : "Francisco", "given" : "Mar\u00eda", "non-dropping-particle" : "", "parse-names" : false, "suffix" : "" }, { "dropping-particle" : "", "family" : "Bruinhorst", "given" : "Adriaan", "non-dropping-particle" : "van den", "parse-names" : false, "suffix" : "" }, { "dropping-particle" : "", "family" : "Kroon", "given" : "Maaike C.", "non-dropping-particle" : "", "parse-names" : false, "suffix" : "" } ], "container-title" : "Green Chemistry", "id" : "ITEM-1", "issue" : "8", "issued" : { "date-parts" : [ [ "2012" ] ] }, "page" : "2153-2157", "title" : "New natural and renewable low transition temperature mixtures (LTTMs): screening as solvents for lignocellulosic biomass processing", "type" : "article-journal", "volume" : "14" }, "uris" : [ "http://www.mendeley.com/documents/?uuid=33465077-7486-4fed-989f-2ec2767e5922" ] } ], "mendeley" : { "formattedCitation" : "&lt;sup&gt;35&lt;/sup&gt;", "plainTextFormattedCitation" : "35", "previouslyFormattedCitation" : "&lt;sup&gt;35&lt;/sup&gt;" }, "properties" : { "noteIndex" : 0 }, "schema" : "https://github.com/citation-style-language/schema/raw/master/csl-citation.json" }</w:instrText>
      </w:r>
      <w:r w:rsidRPr="000F1EA3">
        <w:fldChar w:fldCharType="separate"/>
      </w:r>
      <w:r w:rsidR="00021D26" w:rsidRPr="000F1EA3">
        <w:rPr>
          <w:noProof/>
          <w:vertAlign w:val="superscript"/>
        </w:rPr>
        <w:t>35</w:t>
      </w:r>
      <w:r w:rsidRPr="000F1EA3">
        <w:fldChar w:fldCharType="end"/>
      </w:r>
      <w:r w:rsidRPr="000F1EA3">
        <w:t xml:space="preserve"> or corn stover,</w:t>
      </w:r>
      <w:r w:rsidRPr="000F1EA3">
        <w:fldChar w:fldCharType="begin" w:fldLock="1"/>
      </w:r>
      <w:r w:rsidR="00021D26" w:rsidRPr="000F1EA3">
        <w:instrText>ADDIN CSL_CITATION { "citationItems" : [ { "id" : "ITEM-1", "itemData" : { "DOI" : "10.1016/j.biortech.2017.11.066", "ISSN" : "18732976", "abstract" : "Deep eutectic solvents (DESs) have received increasing attention in recent years as designer solvents for bioprocessing. In this study, ultrafast microwave-assisted DES pretreatment was developed for lignocellulose fractionation. The pretreatment was conducted for 45 s with microwave irradiation at 800 W using a DES composed of choline chloride and lactic acid (ChCl: LA). The results indicated that such pretreatment was highly effective in removing lignin and xylan while retaining most of cellulose in the pretreated solids. The ultrafast fractionation increased the cellulose digestibility by 2\u20135 folds. Switchgrass gave a similar glucose yield to corn stover but experienced less cellulose loss during the pretreatment. Miscanthus was also substantially fractionated but showed lower digestibility than switchgrass and corn stover. Lignin was readily recoverable with relatively high purity from all the pretreatment liquor. Our study demonstrated an innovative ultrafast pretreatment process with superior effectiveness for biomass fractionation and cellulose digestibility improvement as well as lignin extraction.", "author" : [ { "dropping-particle" : "", "family" : "Chen", "given" : "Zhu", "non-dropping-particle" : "", "parse-names" : false, "suffix" : "" }, { "dropping-particle" : "", "family" : "Wan", "given" : "Caixia", "non-dropping-particle" : "", "parse-names" : false, "suffix" : "" } ], "container-title" : "Bioresource Technology", "id" : "ITEM-1", "issue" : "November 2017", "issued" : { "date-parts" : [ [ "2018" ] ] }, "page" : "532-537", "title" : "Ultrafast fractionation of lignocellulosic biomass by microwave-assisted deep eutectic solvent pretreatment", "type" : "article-journal", "volume" : "250" }, "uris" : [ "http://www.mendeley.com/documents/?uuid=19de558a-de42-4b0f-8131-3cdb1a2baff5" ] } ], "mendeley" : { "formattedCitation" : "&lt;sup&gt;43&lt;/sup&gt;", "plainTextFormattedCitation" : "43", "previouslyFormattedCitation" : "&lt;sup&gt;43&lt;/sup&gt;" }, "properties" : { "noteIndex" : 0 }, "schema" : "https://github.com/citation-style-language/schema/raw/master/csl-citation.json" }</w:instrText>
      </w:r>
      <w:r w:rsidRPr="000F1EA3">
        <w:fldChar w:fldCharType="separate"/>
      </w:r>
      <w:r w:rsidR="00021D26" w:rsidRPr="000F1EA3">
        <w:rPr>
          <w:noProof/>
          <w:vertAlign w:val="superscript"/>
        </w:rPr>
        <w:t>43</w:t>
      </w:r>
      <w:r w:rsidRPr="000F1EA3">
        <w:fldChar w:fldCharType="end"/>
      </w:r>
      <w:r w:rsidRPr="000F1EA3">
        <w:rPr>
          <w:vertAlign w:val="superscript"/>
        </w:rPr>
        <w:t>,</w:t>
      </w:r>
      <w:r w:rsidR="00A47916" w:rsidRPr="000F1EA3">
        <w:rPr>
          <w:vertAlign w:val="superscript"/>
        </w:rPr>
        <w:t>57</w:t>
      </w:r>
      <w:r w:rsidRPr="000F1EA3">
        <w:t xml:space="preserve"> that contains little protein. </w:t>
      </w:r>
    </w:p>
    <w:p w:rsidR="00450094" w:rsidRPr="000F1EA3" w:rsidRDefault="00450094" w:rsidP="00450094">
      <w:pPr>
        <w:pStyle w:val="TAMainText"/>
      </w:pPr>
      <w:r w:rsidRPr="000F1EA3">
        <w:t xml:space="preserve">The presence of more phenolic compounds in ECPs may also be the cause of their dark color. Aromatic C signals in ECPs can come from lignin, but also from tannins (PA) and/or anthocyanin. </w:t>
      </w:r>
      <w:proofErr w:type="spellStart"/>
      <w:r w:rsidRPr="000F1EA3">
        <w:t>Marles</w:t>
      </w:r>
      <w:proofErr w:type="spellEnd"/>
      <w:r w:rsidRPr="000F1EA3">
        <w:t xml:space="preserve"> and Gruber</w:t>
      </w:r>
      <w:r w:rsidR="00BB48BF" w:rsidRPr="000F1EA3">
        <w:rPr>
          <w:vertAlign w:val="superscript"/>
        </w:rPr>
        <w:t>47</w:t>
      </w:r>
      <w:r w:rsidRPr="000F1EA3">
        <w:t xml:space="preserve"> reported that lignin concentration are important factors that may contribute to the concentration of PA in the seed coat, and lignin variability may influence pigment extractability. </w:t>
      </w:r>
      <w:proofErr w:type="gramStart"/>
      <w:r w:rsidRPr="000F1EA3">
        <w:t>This is due to the position of the highly lignified palisade cells adjacent to the inner integument in the seed coat, where pigment is initially deposited.</w:t>
      </w:r>
      <w:r w:rsidR="00A47916" w:rsidRPr="000F1EA3">
        <w:rPr>
          <w:vertAlign w:val="superscript"/>
        </w:rPr>
        <w:t>47</w:t>
      </w:r>
      <w:r w:rsidRPr="000F1EA3">
        <w:t xml:space="preserve"> The good solubility of vegetable tannins in DES (choline chloride : ethylene glycol, 1:2 molar ratio) was described by Abbot </w:t>
      </w:r>
      <w:r w:rsidRPr="000F1EA3">
        <w:rPr>
          <w:i/>
        </w:rPr>
        <w:t>et al.</w:t>
      </w:r>
      <w:r w:rsidRPr="000F1EA3">
        <w:t xml:space="preserve"> (2015).</w:t>
      </w:r>
      <w:r w:rsidR="00A47916" w:rsidRPr="000F1EA3">
        <w:rPr>
          <w:vertAlign w:val="superscript"/>
        </w:rPr>
        <w:t>59</w:t>
      </w:r>
      <w:r w:rsidRPr="000F1EA3">
        <w:t xml:space="preserve"> The presence of anthocyanin was found in seed</w:t>
      </w:r>
      <w:r w:rsidR="00A47916" w:rsidRPr="000F1EA3">
        <w:rPr>
          <w:vertAlign w:val="superscript"/>
        </w:rPr>
        <w:t>60</w:t>
      </w:r>
      <w:r w:rsidRPr="000F1EA3">
        <w:t xml:space="preserve"> and seedling</w:t>
      </w:r>
      <w:r w:rsidR="00A47916" w:rsidRPr="000F1EA3">
        <w:rPr>
          <w:vertAlign w:val="superscript"/>
        </w:rPr>
        <w:t>61,62</w:t>
      </w:r>
      <w:r w:rsidRPr="000F1EA3">
        <w:t xml:space="preserve"> in the </w:t>
      </w:r>
      <w:proofErr w:type="spellStart"/>
      <w:r w:rsidRPr="000F1EA3">
        <w:rPr>
          <w:i/>
        </w:rPr>
        <w:t>Oenothera</w:t>
      </w:r>
      <w:proofErr w:type="spellEnd"/>
      <w:r w:rsidRPr="000F1EA3">
        <w:t xml:space="preserve"> species, while they are absent in seed coat of the </w:t>
      </w:r>
      <w:r w:rsidRPr="000F1EA3">
        <w:rPr>
          <w:i/>
        </w:rPr>
        <w:t>Brassica</w:t>
      </w:r>
      <w:r w:rsidRPr="000F1EA3">
        <w:t xml:space="preserve"> species.</w:t>
      </w:r>
      <w:r w:rsidR="00A47916" w:rsidRPr="000F1EA3">
        <w:rPr>
          <w:vertAlign w:val="superscript"/>
        </w:rPr>
        <w:t>47</w:t>
      </w:r>
      <w:r w:rsidRPr="000F1EA3">
        <w:t xml:space="preserve"> Isolation of </w:t>
      </w:r>
      <w:proofErr w:type="spellStart"/>
      <w:r w:rsidRPr="000F1EA3">
        <w:t>anthocyanins</w:t>
      </w:r>
      <w:proofErr w:type="spellEnd"/>
      <w:r w:rsidRPr="000F1EA3">
        <w:t xml:space="preserve"> with DES has been evidenced in the literature,</w:t>
      </w:r>
      <w:r w:rsidRPr="000F1EA3">
        <w:fldChar w:fldCharType="begin" w:fldLock="1"/>
      </w:r>
      <w:r w:rsidR="00021D26" w:rsidRPr="000F1EA3">
        <w:instrText>ADDIN CSL_CITATION { "citationItems" : [ { "id" : "ITEM-1", "itemData" : { "author" : [ { "dropping-particle" : "", "family" : "Bosiljkov", "given" : "Tomislav", "non-dropping-particle" : "", "parse-names" : false, "suffix" : "" }, { "dropping-particle" : "", "family" : "Dujmi", "given" : "Filip", "non-dropping-particle" : "", "parse-names" : false, "suffix" : "" } ], "container-title" : "Food and Bioproducts Processing", "id" : "ITEM-1", "issued" : { "date-parts" : [ [ "2017" ] ] }, "page" : "195-203", "title" : "Natural deep eutectic solvents and ultrasound-assisted extraction : Green approaches for extraction of wine lees anthocyanins", "type" : "article-journal", "volume" : "102" }, "uris" : [ "http://www.mendeley.com/documents/?uuid=42924e83-08d6-4559-aeef-ef7922c54695" ] } ], "mendeley" : { "formattedCitation" : "&lt;sup&gt;26&lt;/sup&gt;", "plainTextFormattedCitation" : "26", "previouslyFormattedCitation" : "&lt;sup&gt;26&lt;/sup&gt;" }, "properties" : { "noteIndex" : 0 }, "schema" : "https://github.com/citation-style-language/schema/raw/master/csl-citation.json" }</w:instrText>
      </w:r>
      <w:r w:rsidRPr="000F1EA3">
        <w:fldChar w:fldCharType="separate"/>
      </w:r>
      <w:r w:rsidR="00021D26" w:rsidRPr="000F1EA3">
        <w:rPr>
          <w:noProof/>
          <w:vertAlign w:val="superscript"/>
        </w:rPr>
        <w:t>26</w:t>
      </w:r>
      <w:r w:rsidRPr="000F1EA3">
        <w:fldChar w:fldCharType="end"/>
      </w:r>
      <w:r w:rsidRPr="000F1EA3">
        <w:rPr>
          <w:vertAlign w:val="superscript"/>
        </w:rPr>
        <w:t>,</w:t>
      </w:r>
      <w:r w:rsidR="00A47916" w:rsidRPr="000F1EA3">
        <w:rPr>
          <w:vertAlign w:val="superscript"/>
        </w:rPr>
        <w:t>63,64</w:t>
      </w:r>
      <w:r w:rsidRPr="000F1EA3">
        <w:t xml:space="preserve"> also with Glyceline.</w:t>
      </w:r>
      <w:r w:rsidRPr="000F1EA3">
        <w:fldChar w:fldCharType="begin" w:fldLock="1"/>
      </w:r>
      <w:r w:rsidR="00021D26" w:rsidRPr="000F1EA3">
        <w:instrText>ADDIN CSL_CITATION { "citationItems" : [ { "id" : "ITEM-1", "itemData" : { "author" : [ { "dropping-particle" : "", "family" : "Bosiljkov", "given" : "Tomislav", "non-dropping-particle" : "", "parse-names" : false, "suffix" : "" }, { "dropping-particle" : "", "family" : "Dujmi", "given" : "Filip", "non-dropping-particle" : "", "parse-names" : false, "suffix" : "" } ], "container-title" : "Food and Bioproducts Processing", "id" : "ITEM-1", "issued" : { "date-parts" : [ [ "2017" ] ] }, "page" : "195-203", "title" : "Natural deep eutectic solvents and ultrasound-assisted extraction : Green approaches for extraction of wine lees anthocyanins", "type" : "article-journal", "volume" : "102" }, "uris" : [ "http://www.mendeley.com/documents/?uuid=42924e83-08d6-4559-aeef-ef7922c54695" ] } ], "mendeley" : { "formattedCitation" : "&lt;sup&gt;26&lt;/sup&gt;", "plainTextFormattedCitation" : "26", "previouslyFormattedCitation" : "&lt;sup&gt;26&lt;/sup&gt;" }, "properties" : { "noteIndex" : 0 }, "schema" : "https://github.com/citation-style-language/schema/raw/master/csl-citation.json" }</w:instrText>
      </w:r>
      <w:r w:rsidRPr="000F1EA3">
        <w:fldChar w:fldCharType="separate"/>
      </w:r>
      <w:proofErr w:type="gramEnd"/>
      <w:r w:rsidR="00021D26" w:rsidRPr="000F1EA3">
        <w:rPr>
          <w:noProof/>
          <w:vertAlign w:val="superscript"/>
        </w:rPr>
        <w:t>26</w:t>
      </w:r>
      <w:r w:rsidRPr="000F1EA3">
        <w:fldChar w:fldCharType="end"/>
      </w:r>
      <w:r w:rsidRPr="000F1EA3">
        <w:rPr>
          <w:vertAlign w:val="superscript"/>
        </w:rPr>
        <w:t>,</w:t>
      </w:r>
      <w:r w:rsidR="00A47916" w:rsidRPr="000F1EA3">
        <w:rPr>
          <w:vertAlign w:val="superscript"/>
        </w:rPr>
        <w:t>64</w:t>
      </w:r>
      <w:r w:rsidRPr="000F1EA3">
        <w:t xml:space="preserve"> However, to confirm that tannin and/or </w:t>
      </w:r>
      <w:proofErr w:type="spellStart"/>
      <w:r w:rsidRPr="000F1EA3">
        <w:t>anthocyanins</w:t>
      </w:r>
      <w:proofErr w:type="spellEnd"/>
      <w:r w:rsidRPr="000F1EA3">
        <w:t xml:space="preserve"> are responsible for coloring of evening primrose samples further studies should be carried out.</w:t>
      </w:r>
    </w:p>
    <w:p w:rsidR="00450094" w:rsidRPr="000F1EA3" w:rsidRDefault="00450094" w:rsidP="00450094">
      <w:pPr>
        <w:pStyle w:val="TAMainText"/>
      </w:pPr>
      <w:r w:rsidRPr="000F1EA3">
        <w:t xml:space="preserve">To the best of our knowledge, there are no papers on the use of </w:t>
      </w:r>
      <w:proofErr w:type="spellStart"/>
      <w:r w:rsidRPr="000F1EA3">
        <w:t>Glyceline</w:t>
      </w:r>
      <w:proofErr w:type="spellEnd"/>
      <w:r w:rsidRPr="000F1EA3">
        <w:t xml:space="preserve"> for the extraction of protein from plant materials. So far, the process for separating proteins and/or protein fractions from biomass materials using DES has been described in one patent</w:t>
      </w:r>
      <w:proofErr w:type="gramStart"/>
      <w:r w:rsidRPr="000F1EA3">
        <w:t>,</w:t>
      </w:r>
      <w:r w:rsidR="00A47916" w:rsidRPr="000F1EA3">
        <w:rPr>
          <w:vertAlign w:val="superscript"/>
        </w:rPr>
        <w:t>65</w:t>
      </w:r>
      <w:proofErr w:type="gramEnd"/>
      <w:r w:rsidRPr="000F1EA3">
        <w:t xml:space="preserve"> in which the claimants used DES comprising a hydrogen bond acceptor selected from alkali or earth alkaline metal carboxylates and urea as hydrogen bond donor.</w:t>
      </w:r>
    </w:p>
    <w:p w:rsidR="00450094" w:rsidRPr="000F1EA3" w:rsidRDefault="00D30BBE" w:rsidP="00450094">
      <w:pPr>
        <w:pStyle w:val="TAMainText"/>
      </w:pPr>
      <w:r w:rsidRPr="000F1EA3">
        <w:rPr>
          <w:rFonts w:eastAsiaTheme="minorHAnsi"/>
          <w:b/>
        </w:rPr>
        <w:lastRenderedPageBreak/>
        <w:t>Elemental A</w:t>
      </w:r>
      <w:r w:rsidR="00450094" w:rsidRPr="000F1EA3">
        <w:rPr>
          <w:rFonts w:eastAsiaTheme="minorHAnsi"/>
          <w:b/>
        </w:rPr>
        <w:t>nalysis.</w:t>
      </w:r>
      <w:r w:rsidR="00450094" w:rsidRPr="000F1EA3">
        <w:t xml:space="preserve"> CHN analyses </w:t>
      </w:r>
      <w:proofErr w:type="gramStart"/>
      <w:r w:rsidR="00450094" w:rsidRPr="000F1EA3">
        <w:t>were performed</w:t>
      </w:r>
      <w:proofErr w:type="gramEnd"/>
      <w:r w:rsidR="00450094" w:rsidRPr="000F1EA3">
        <w:t xml:space="preserve"> for oil cakes, biomass residues and precipitates (Fig</w:t>
      </w:r>
      <w:r w:rsidR="00BE404D" w:rsidRPr="000F1EA3">
        <w:t xml:space="preserve">ure </w:t>
      </w:r>
      <w:r w:rsidR="007434F2" w:rsidRPr="000F1EA3">
        <w:t>S3</w:t>
      </w:r>
      <w:r w:rsidR="00CF7B84" w:rsidRPr="000F1EA3">
        <w:t>)</w:t>
      </w:r>
      <w:r w:rsidR="00450094" w:rsidRPr="000F1EA3">
        <w:t xml:space="preserve">. Assuming that N content is solely due to </w:t>
      </w:r>
      <w:proofErr w:type="spellStart"/>
      <w:r w:rsidR="00450094" w:rsidRPr="000F1EA3">
        <w:t>proteinaceous</w:t>
      </w:r>
      <w:proofErr w:type="spellEnd"/>
      <w:r w:rsidR="00450094" w:rsidRPr="000F1EA3">
        <w:t xml:space="preserve"> matter, the protein content in the samples was calculated based on 6.25 conversion factor. As shown in Fig</w:t>
      </w:r>
      <w:r w:rsidR="00BE404D" w:rsidRPr="000F1EA3">
        <w:t>ure</w:t>
      </w:r>
      <w:r w:rsidR="00450094" w:rsidRPr="000F1EA3">
        <w:t xml:space="preserve">s </w:t>
      </w:r>
      <w:r w:rsidR="007434F2" w:rsidRPr="000F1EA3">
        <w:t xml:space="preserve">5 </w:t>
      </w:r>
      <w:r w:rsidR="00450094" w:rsidRPr="000F1EA3">
        <w:t xml:space="preserve">and </w:t>
      </w:r>
      <w:r w:rsidR="007434F2" w:rsidRPr="000F1EA3">
        <w:t>6</w:t>
      </w:r>
      <w:r w:rsidR="00450094" w:rsidRPr="000F1EA3">
        <w:t>, the nitrogen content, and thus the protein content, is higher in precipitates than in the initial oil cakes. RCPs protein contents varied between 36-48%, where it increased with increasing temperature of the treatment. ECPs showed slightly higher values of protein, ranging from 40 to 50 %.</w:t>
      </w:r>
    </w:p>
    <w:p w:rsidR="0076267B" w:rsidRPr="000F1EA3" w:rsidRDefault="0076267B" w:rsidP="0076267B">
      <w:pPr>
        <w:jc w:val="center"/>
      </w:pPr>
      <w:r w:rsidRPr="000F1EA3">
        <w:rPr>
          <w:noProof/>
          <w:lang w:val="en-GB" w:eastAsia="en-GB" w:bidi="pa-IN"/>
        </w:rPr>
        <w:drawing>
          <wp:inline distT="0" distB="0" distL="0" distR="0">
            <wp:extent cx="3383415" cy="2047875"/>
            <wp:effectExtent l="0" t="0" r="7620" b="0"/>
            <wp:docPr id="25" name="Obraz 25" descr="D:\PUBLIKACJE MOJE sony\ACSSC&amp;E\Figs\PO GIMP\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UBLIKACJE MOJE sony\ACSSC&amp;E\Figs\PO GIMP\Figure 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5982" cy="2049429"/>
                    </a:xfrm>
                    <a:prstGeom prst="rect">
                      <a:avLst/>
                    </a:prstGeom>
                    <a:noFill/>
                    <a:ln>
                      <a:noFill/>
                    </a:ln>
                  </pic:spPr>
                </pic:pic>
              </a:graphicData>
            </a:graphic>
          </wp:inline>
        </w:drawing>
      </w:r>
    </w:p>
    <w:p w:rsidR="00FB7DBC" w:rsidRPr="000F1EA3" w:rsidRDefault="00FB7DBC" w:rsidP="00FB7DBC">
      <w:pPr>
        <w:pStyle w:val="VAFigureCaption"/>
      </w:pPr>
      <w:r w:rsidRPr="000F1EA3">
        <w:rPr>
          <w:b/>
        </w:rPr>
        <w:t xml:space="preserve">Figure </w:t>
      </w:r>
      <w:r w:rsidR="007434F2" w:rsidRPr="000F1EA3">
        <w:rPr>
          <w:b/>
        </w:rPr>
        <w:t>5</w:t>
      </w:r>
      <w:r w:rsidRPr="000F1EA3">
        <w:rPr>
          <w:bCs/>
        </w:rPr>
        <w:t>.</w:t>
      </w:r>
      <w:r w:rsidRPr="000F1EA3">
        <w:t xml:space="preserve"> Content of nitrogen (N) and protein of RC, RCBR and RCP.</w:t>
      </w:r>
    </w:p>
    <w:p w:rsidR="00FB7DBC" w:rsidRPr="000F1EA3" w:rsidRDefault="004D7909" w:rsidP="004D7909">
      <w:pPr>
        <w:jc w:val="center"/>
      </w:pPr>
      <w:r w:rsidRPr="000F1EA3">
        <w:rPr>
          <w:noProof/>
          <w:lang w:val="en-GB" w:eastAsia="en-GB" w:bidi="pa-IN"/>
        </w:rPr>
        <w:drawing>
          <wp:inline distT="0" distB="0" distL="0" distR="0">
            <wp:extent cx="3390900" cy="2113598"/>
            <wp:effectExtent l="0" t="0" r="0" b="1270"/>
            <wp:docPr id="26" name="Obraz 26" descr="D:\PUBLIKACJE MOJE sony\ACSSC&amp;E\Figs\PO GIMP\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UBLIKACJE MOJE sony\ACSSC&amp;E\Figs\PO GIMP\Figure 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338" cy="2117611"/>
                    </a:xfrm>
                    <a:prstGeom prst="rect">
                      <a:avLst/>
                    </a:prstGeom>
                    <a:noFill/>
                    <a:ln>
                      <a:noFill/>
                    </a:ln>
                  </pic:spPr>
                </pic:pic>
              </a:graphicData>
            </a:graphic>
          </wp:inline>
        </w:drawing>
      </w:r>
    </w:p>
    <w:p w:rsidR="00FB7DBC" w:rsidRPr="000F1EA3" w:rsidRDefault="00FB7DBC" w:rsidP="00FB7DBC">
      <w:pPr>
        <w:pStyle w:val="VAFigureCaption"/>
      </w:pPr>
      <w:r w:rsidRPr="000F1EA3">
        <w:rPr>
          <w:b/>
        </w:rPr>
        <w:t xml:space="preserve">Figure </w:t>
      </w:r>
      <w:r w:rsidR="007434F2" w:rsidRPr="000F1EA3">
        <w:rPr>
          <w:b/>
        </w:rPr>
        <w:t>6</w:t>
      </w:r>
      <w:r w:rsidRPr="000F1EA3">
        <w:rPr>
          <w:bCs/>
        </w:rPr>
        <w:t>.</w:t>
      </w:r>
      <w:r w:rsidRPr="000F1EA3">
        <w:t xml:space="preserve"> Content of nitrogen (N) and protein of EC, ECBR and ECP.</w:t>
      </w:r>
    </w:p>
    <w:p w:rsidR="00EB0549" w:rsidRPr="000F1EA3" w:rsidRDefault="001102E0" w:rsidP="00EB0549">
      <w:pPr>
        <w:pStyle w:val="TAMainText"/>
      </w:pPr>
      <w:r w:rsidRPr="000F1EA3">
        <w:rPr>
          <w:rFonts w:eastAsiaTheme="minorHAnsi"/>
          <w:b/>
        </w:rPr>
        <w:lastRenderedPageBreak/>
        <w:t>SDS-</w:t>
      </w:r>
      <w:proofErr w:type="spellStart"/>
      <w:r w:rsidRPr="000F1EA3">
        <w:rPr>
          <w:rFonts w:eastAsiaTheme="minorHAnsi"/>
          <w:b/>
        </w:rPr>
        <w:t>Polyacylamide</w:t>
      </w:r>
      <w:proofErr w:type="spellEnd"/>
      <w:r w:rsidRPr="000F1EA3">
        <w:rPr>
          <w:rFonts w:eastAsiaTheme="minorHAnsi"/>
          <w:b/>
        </w:rPr>
        <w:t xml:space="preserve"> Gel Electrophoresis (</w:t>
      </w:r>
      <w:r w:rsidR="00EB0549" w:rsidRPr="000F1EA3">
        <w:rPr>
          <w:rFonts w:eastAsiaTheme="minorHAnsi"/>
          <w:b/>
        </w:rPr>
        <w:t>SDS-PAGE</w:t>
      </w:r>
      <w:r w:rsidRPr="000F1EA3">
        <w:rPr>
          <w:rFonts w:eastAsiaTheme="minorHAnsi"/>
          <w:b/>
        </w:rPr>
        <w:t>)</w:t>
      </w:r>
      <w:r w:rsidR="00EB0549" w:rsidRPr="000F1EA3">
        <w:rPr>
          <w:rFonts w:eastAsiaTheme="minorHAnsi"/>
          <w:b/>
        </w:rPr>
        <w:t>.</w:t>
      </w:r>
      <w:r w:rsidR="00EB0549" w:rsidRPr="000F1EA3">
        <w:rPr>
          <w:rStyle w:val="RSCB08CHeadingIn-lineChar"/>
          <w:b w:val="0"/>
        </w:rPr>
        <w:t xml:space="preserve"> </w:t>
      </w:r>
      <w:r w:rsidR="00EB0549" w:rsidRPr="000F1EA3">
        <w:t xml:space="preserve">SDS-PAGE of the oil cakes and precipitates </w:t>
      </w:r>
      <w:proofErr w:type="gramStart"/>
      <w:r w:rsidR="00EB0549" w:rsidRPr="000F1EA3">
        <w:t>are shown</w:t>
      </w:r>
      <w:proofErr w:type="gramEnd"/>
      <w:r w:rsidR="00EB0549" w:rsidRPr="000F1EA3">
        <w:t xml:space="preserve"> in </w:t>
      </w:r>
      <w:r w:rsidR="00BE404D" w:rsidRPr="000F1EA3">
        <w:t>Figure</w:t>
      </w:r>
      <w:r w:rsidR="00EB0549" w:rsidRPr="000F1EA3">
        <w:t xml:space="preserve"> </w:t>
      </w:r>
      <w:r w:rsidR="007434F2" w:rsidRPr="000F1EA3">
        <w:t>7</w:t>
      </w:r>
      <w:r w:rsidR="00EB0549" w:rsidRPr="000F1EA3">
        <w:t>. SDS-PAGE of RC (</w:t>
      </w:r>
      <w:r w:rsidR="00BE404D" w:rsidRPr="000F1EA3">
        <w:t>Figure</w:t>
      </w:r>
      <w:r w:rsidR="00EB0549" w:rsidRPr="000F1EA3">
        <w:t xml:space="preserve"> </w:t>
      </w:r>
      <w:r w:rsidR="007434F2" w:rsidRPr="000F1EA3">
        <w:t>7a</w:t>
      </w:r>
      <w:r w:rsidR="00EB0549" w:rsidRPr="000F1EA3">
        <w:t xml:space="preserve">) confirmed characteristic polypeptide bands originating from </w:t>
      </w:r>
      <w:proofErr w:type="spellStart"/>
      <w:r w:rsidR="00EB0549" w:rsidRPr="000F1EA3">
        <w:t>cruciferin</w:t>
      </w:r>
      <w:proofErr w:type="spellEnd"/>
      <w:r w:rsidR="00EB0549" w:rsidRPr="000F1EA3">
        <w:t xml:space="preserve"> and </w:t>
      </w:r>
      <w:proofErr w:type="spellStart"/>
      <w:r w:rsidR="00EB0549" w:rsidRPr="000F1EA3">
        <w:t>napin</w:t>
      </w:r>
      <w:proofErr w:type="spellEnd"/>
      <w:r w:rsidR="00EB0549" w:rsidRPr="000F1EA3">
        <w:t>, similar to those described in the literature.</w:t>
      </w:r>
      <w:r w:rsidR="00A47916" w:rsidRPr="000F1EA3">
        <w:rPr>
          <w:vertAlign w:val="superscript"/>
        </w:rPr>
        <w:t>66-68</w:t>
      </w:r>
      <w:r w:rsidR="00EB0549" w:rsidRPr="000F1EA3">
        <w:t xml:space="preserve"> </w:t>
      </w:r>
      <w:proofErr w:type="spellStart"/>
      <w:r w:rsidR="00EB0549" w:rsidRPr="000F1EA3">
        <w:t>Cruciferin</w:t>
      </w:r>
      <w:proofErr w:type="spellEnd"/>
      <w:r w:rsidR="00EB0549" w:rsidRPr="000F1EA3">
        <w:t xml:space="preserve"> gives several bands in the range of ~16-33 </w:t>
      </w:r>
      <w:proofErr w:type="spellStart"/>
      <w:r w:rsidR="00EB0549" w:rsidRPr="000F1EA3">
        <w:t>kDa</w:t>
      </w:r>
      <w:proofErr w:type="spellEnd"/>
      <w:r w:rsidR="00EB0549" w:rsidRPr="000F1EA3">
        <w:t xml:space="preserve">, while </w:t>
      </w:r>
      <w:proofErr w:type="spellStart"/>
      <w:r w:rsidR="00EB0549" w:rsidRPr="000F1EA3">
        <w:t>napin</w:t>
      </w:r>
      <w:proofErr w:type="spellEnd"/>
      <w:r w:rsidR="00EB0549" w:rsidRPr="000F1EA3">
        <w:t xml:space="preserve"> gives </w:t>
      </w:r>
      <w:proofErr w:type="gramStart"/>
      <w:r w:rsidR="00EB0549" w:rsidRPr="000F1EA3">
        <w:t>two</w:t>
      </w:r>
      <w:proofErr w:type="gramEnd"/>
      <w:r w:rsidR="00EB0549" w:rsidRPr="000F1EA3">
        <w:t xml:space="preserve"> bands, ~11 </w:t>
      </w:r>
      <w:proofErr w:type="spellStart"/>
      <w:r w:rsidR="00EB0549" w:rsidRPr="000F1EA3">
        <w:t>kDa</w:t>
      </w:r>
      <w:proofErr w:type="spellEnd"/>
      <w:r w:rsidR="00EB0549" w:rsidRPr="000F1EA3">
        <w:t xml:space="preserve"> and ~7 </w:t>
      </w:r>
      <w:proofErr w:type="spellStart"/>
      <w:r w:rsidR="00EB0549" w:rsidRPr="000F1EA3">
        <w:t>kDa</w:t>
      </w:r>
      <w:proofErr w:type="spellEnd"/>
      <w:r w:rsidR="00EB0549" w:rsidRPr="000F1EA3">
        <w:t xml:space="preserve">. SDS-PAGE of RCP60 and RCP100 shows characteristic bands for </w:t>
      </w:r>
      <w:proofErr w:type="spellStart"/>
      <w:r w:rsidR="00EB0549" w:rsidRPr="000F1EA3">
        <w:t>cruciferin</w:t>
      </w:r>
      <w:proofErr w:type="spellEnd"/>
      <w:r w:rsidR="00EB0549" w:rsidRPr="000F1EA3">
        <w:t xml:space="preserve">, while for </w:t>
      </w:r>
      <w:proofErr w:type="spellStart"/>
      <w:r w:rsidR="00EB0549" w:rsidRPr="000F1EA3">
        <w:t>napin</w:t>
      </w:r>
      <w:proofErr w:type="spellEnd"/>
      <w:r w:rsidR="00EB0549" w:rsidRPr="000F1EA3">
        <w:t xml:space="preserve"> are absent. These data indicate that DES can selectively isolate the </w:t>
      </w:r>
      <w:proofErr w:type="spellStart"/>
      <w:r w:rsidR="00EB0549" w:rsidRPr="000F1EA3">
        <w:t>cruciferin</w:t>
      </w:r>
      <w:proofErr w:type="spellEnd"/>
      <w:r w:rsidR="00EB0549" w:rsidRPr="000F1EA3">
        <w:t xml:space="preserve"> from RC. This may be due to the different </w:t>
      </w:r>
      <w:proofErr w:type="spellStart"/>
      <w:r w:rsidR="00EB0549" w:rsidRPr="000F1EA3">
        <w:t>physico</w:t>
      </w:r>
      <w:proofErr w:type="spellEnd"/>
      <w:r w:rsidR="00EB0549" w:rsidRPr="000F1EA3">
        <w:t xml:space="preserve">-chemical properties of </w:t>
      </w:r>
      <w:proofErr w:type="spellStart"/>
      <w:r w:rsidR="00EB0549" w:rsidRPr="000F1EA3">
        <w:t>cruciferin</w:t>
      </w:r>
      <w:proofErr w:type="spellEnd"/>
      <w:r w:rsidR="00EB0549" w:rsidRPr="000F1EA3">
        <w:t xml:space="preserve"> and </w:t>
      </w:r>
      <w:proofErr w:type="spellStart"/>
      <w:r w:rsidR="00EB0549" w:rsidRPr="000F1EA3">
        <w:t>napin</w:t>
      </w:r>
      <w:proofErr w:type="spellEnd"/>
      <w:r w:rsidR="00EB0549" w:rsidRPr="000F1EA3">
        <w:t xml:space="preserve">. The </w:t>
      </w:r>
      <w:proofErr w:type="spellStart"/>
      <w:r w:rsidR="00EB0549" w:rsidRPr="000F1EA3">
        <w:t>napin</w:t>
      </w:r>
      <w:proofErr w:type="spellEnd"/>
      <w:r w:rsidR="00EB0549" w:rsidRPr="000F1EA3">
        <w:t xml:space="preserve"> shows more hydrophilic protein properties than cruciferin.</w:t>
      </w:r>
      <w:r w:rsidR="00EB0549" w:rsidRPr="000F1EA3">
        <w:fldChar w:fldCharType="begin" w:fldLock="1"/>
      </w:r>
      <w:r w:rsidR="00021D26" w:rsidRPr="000F1EA3">
        <w:instrText>ADDIN CSL_CITATION { "citationItems" : [ { "id" : "ITEM-1", "itemData" : { "DOI" : "10.1080/10408391003749942", "ISBN" : "1040-8398", "ISSN" : "10408398", "PMID" : "21793726", "abstract" : "Among the commercially cultivated Brassicaceae (Cruciferae) plants, Brassica juncea, Brassica napus, Brassica rapa, and Sinapis alba store significant amounts of oil and protein in the seed. At present, Brassica seed proteins are primarily used for livestock feeding based on the nutritional value. The point of curiosity is whether the present knowledge on the protein structure, biochemical characteristics, nutritive value, and the recovery processes are inadequate to develop Brassica proteins into a usable plant protein source or these proteins are of substandard for uses beyond animal nutrition applications. Cruciferin (11S) and napin (2S) are the predominant storage proteins of Brassicaceae seeds that contribute to different properties and functions. A gamut of information is available on the chemistry, nutritional value, as well as the functionality in foods, and associated non-protein components of canola/rapeseed storage proteins. The intention of this article is to critically review what is known about the predominant storage proteins of commercially produced Brassicaceae seeds relative to the above aspects and identify the knowledge gaps.", "author" : [ { "dropping-particle" : "", "family" : "Wanasundara", "given" : "Janitha P.D.", "non-dropping-particle" : "", "parse-names" : false, "suffix" : "" } ], "container-title" : "Critical Reviews in Food Science and Nutrition", "id" : "ITEM-1", "issue" : "7", "issued" : { "date-parts" : [ [ "2011" ] ] }, "page" : "635-677", "title" : "Proteins of brassicaceae oilseeds and their potential as a plant protein source", "type" : "article-journal", "volume" : "51" }, "uris" : [ "http://www.mendeley.com/documents/?uuid=7a7c512b-00c3-4f0d-977f-b9cc4a19c4ca" ] } ], "mendeley" : { "formattedCitation" : "&lt;sup&gt;10&lt;/sup&gt;", "plainTextFormattedCitation" : "10", "previouslyFormattedCitation" : "&lt;sup&gt;10&lt;/sup&gt;" }, "properties" : { "noteIndex" : 0 }, "schema" : "https://github.com/citation-style-language/schema/raw/master/csl-citation.json" }</w:instrText>
      </w:r>
      <w:r w:rsidR="00EB0549" w:rsidRPr="000F1EA3">
        <w:fldChar w:fldCharType="separate"/>
      </w:r>
      <w:r w:rsidR="00021D26" w:rsidRPr="000F1EA3">
        <w:rPr>
          <w:noProof/>
          <w:vertAlign w:val="superscript"/>
        </w:rPr>
        <w:t>10</w:t>
      </w:r>
      <w:r w:rsidR="00EB0549" w:rsidRPr="000F1EA3">
        <w:fldChar w:fldCharType="end"/>
      </w:r>
    </w:p>
    <w:p w:rsidR="00EB0549" w:rsidRPr="000F1EA3" w:rsidRDefault="00EB0549" w:rsidP="0077304D">
      <w:pPr>
        <w:pStyle w:val="TAMainText"/>
        <w:rPr>
          <w:rStyle w:val="RSCB02ArticleTextChar"/>
          <w:rFonts w:ascii="Times" w:hAnsi="Times"/>
          <w:w w:val="100"/>
          <w:sz w:val="24"/>
          <w:szCs w:val="20"/>
          <w:lang w:val="en-US"/>
        </w:rPr>
      </w:pPr>
      <w:r w:rsidRPr="000F1EA3">
        <w:t>In the case of evening primrose group, the characteristic polypeptide bands for EC are present in both ECP60 and ECP100 (Fig</w:t>
      </w:r>
      <w:r w:rsidR="00BE404D" w:rsidRPr="000F1EA3">
        <w:t>ure</w:t>
      </w:r>
      <w:r w:rsidRPr="000F1EA3">
        <w:t xml:space="preserve"> </w:t>
      </w:r>
      <w:r w:rsidR="007434F2" w:rsidRPr="000F1EA3">
        <w:t>7b</w:t>
      </w:r>
      <w:r w:rsidRPr="000F1EA3">
        <w:t>).</w:t>
      </w:r>
      <w:r w:rsidR="0077304D" w:rsidRPr="000F1EA3">
        <w:t xml:space="preserve"> Results show that protein could be successfully extracted, however when biomass </w:t>
      </w:r>
      <w:proofErr w:type="gramStart"/>
      <w:r w:rsidR="0077304D" w:rsidRPr="000F1EA3">
        <w:t>is treated</w:t>
      </w:r>
      <w:proofErr w:type="gramEnd"/>
      <w:r w:rsidR="0077304D" w:rsidRPr="000F1EA3">
        <w:t xml:space="preserve"> at 140 °C, possible denaturation of the proteins occurs hence their separation by electrophoresis is hindered (Figure </w:t>
      </w:r>
      <w:r w:rsidR="00E8415C" w:rsidRPr="000F1EA3">
        <w:t>7</w:t>
      </w:r>
      <w:r w:rsidR="0077304D" w:rsidRPr="000F1EA3">
        <w:t>, RCP140 and ECP140).</w:t>
      </w:r>
    </w:p>
    <w:p w:rsidR="00DC573C" w:rsidRPr="000F1EA3" w:rsidRDefault="00DC573C" w:rsidP="00DC573C">
      <w:pPr>
        <w:jc w:val="center"/>
        <w:rPr>
          <w:rStyle w:val="RSCB02ArticleTextChar"/>
          <w:rFonts w:ascii="Times" w:hAnsi="Times"/>
          <w:w w:val="100"/>
          <w:sz w:val="24"/>
          <w:szCs w:val="20"/>
          <w:lang w:val="en-US"/>
        </w:rPr>
      </w:pPr>
      <w:r w:rsidRPr="000F1EA3">
        <w:rPr>
          <w:rStyle w:val="RSCB02ArticleTextChar"/>
          <w:rFonts w:ascii="Times" w:hAnsi="Times"/>
          <w:noProof/>
          <w:w w:val="100"/>
          <w:sz w:val="24"/>
          <w:szCs w:val="20"/>
          <w:lang w:eastAsia="en-GB" w:bidi="pa-IN"/>
        </w:rPr>
        <w:drawing>
          <wp:inline distT="0" distB="0" distL="0" distR="0">
            <wp:extent cx="3743325" cy="2051414"/>
            <wp:effectExtent l="0" t="0" r="0" b="6350"/>
            <wp:docPr id="27" name="Obraz 27" descr="D:\PUBLIKACJE MOJE sony\ACSSC&amp;E\Figs\PO GIMP\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UBLIKACJE MOJE sony\ACSSC&amp;E\Figs\PO GIMP\Figure 9.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4321" cy="2057440"/>
                    </a:xfrm>
                    <a:prstGeom prst="rect">
                      <a:avLst/>
                    </a:prstGeom>
                    <a:noFill/>
                    <a:ln>
                      <a:noFill/>
                    </a:ln>
                  </pic:spPr>
                </pic:pic>
              </a:graphicData>
            </a:graphic>
          </wp:inline>
        </w:drawing>
      </w:r>
    </w:p>
    <w:p w:rsidR="00977378" w:rsidRPr="000F1EA3" w:rsidRDefault="00CF7B84" w:rsidP="00977378">
      <w:pPr>
        <w:pStyle w:val="VAFigureCaption"/>
        <w:rPr>
          <w:rFonts w:eastAsiaTheme="minorHAnsi"/>
        </w:rPr>
      </w:pPr>
      <w:r w:rsidRPr="000F1EA3">
        <w:rPr>
          <w:rFonts w:eastAsiaTheme="minorHAnsi"/>
          <w:b/>
        </w:rPr>
        <w:t xml:space="preserve">Figure </w:t>
      </w:r>
      <w:r w:rsidR="00CA225D" w:rsidRPr="000F1EA3">
        <w:rPr>
          <w:rFonts w:eastAsiaTheme="minorHAnsi"/>
          <w:b/>
        </w:rPr>
        <w:t>7</w:t>
      </w:r>
      <w:r w:rsidR="00977378" w:rsidRPr="000F1EA3">
        <w:rPr>
          <w:rFonts w:eastAsiaTheme="minorHAnsi"/>
          <w:bCs/>
        </w:rPr>
        <w:t>.</w:t>
      </w:r>
      <w:r w:rsidR="00977378" w:rsidRPr="000F1EA3">
        <w:rPr>
          <w:rFonts w:eastAsiaTheme="minorHAnsi"/>
        </w:rPr>
        <w:t xml:space="preserve"> SDS-PAGE (under reducing conditions) pattern of RC, RCPs (a) and EC, ECPs (b) samples. MWM – molecular weight markers.</w:t>
      </w:r>
    </w:p>
    <w:p w:rsidR="00DC573C" w:rsidRPr="000F1EA3" w:rsidRDefault="00D30BBE" w:rsidP="000466AB">
      <w:pPr>
        <w:pStyle w:val="TAMainText"/>
      </w:pPr>
      <w:r w:rsidRPr="000F1EA3">
        <w:rPr>
          <w:rFonts w:eastAsiaTheme="minorHAnsi"/>
          <w:b/>
        </w:rPr>
        <w:t>Infrared A</w:t>
      </w:r>
      <w:r w:rsidR="000466AB" w:rsidRPr="000F1EA3">
        <w:rPr>
          <w:rFonts w:eastAsiaTheme="minorHAnsi"/>
          <w:b/>
        </w:rPr>
        <w:t>nalysis (ATR-FTIR)</w:t>
      </w:r>
      <w:r w:rsidR="000466AB" w:rsidRPr="000F1EA3">
        <w:rPr>
          <w:rFonts w:eastAsiaTheme="minorHAnsi"/>
          <w:bCs/>
        </w:rPr>
        <w:t>.</w:t>
      </w:r>
      <w:r w:rsidR="000466AB" w:rsidRPr="000F1EA3">
        <w:rPr>
          <w:rStyle w:val="RSCB02ArticleTextChar"/>
        </w:rPr>
        <w:t xml:space="preserve"> </w:t>
      </w:r>
      <w:r w:rsidR="000466AB" w:rsidRPr="000F1EA3">
        <w:t>The ATR-FTIR spectra of the feedstock (RC and EC), biomass residues after DES treatment (RCBRs and ECBRs), and precipitates (RCPs and ECPs) are shown in Fig</w:t>
      </w:r>
      <w:r w:rsidR="003153AE" w:rsidRPr="000F1EA3">
        <w:t>ure</w:t>
      </w:r>
      <w:r w:rsidR="00CF7B84" w:rsidRPr="000F1EA3">
        <w:t xml:space="preserve"> </w:t>
      </w:r>
      <w:r w:rsidR="00CA225D" w:rsidRPr="000F1EA3">
        <w:t>8</w:t>
      </w:r>
      <w:r w:rsidR="000466AB" w:rsidRPr="000F1EA3">
        <w:t xml:space="preserve">, and the assignments are listed in Table </w:t>
      </w:r>
      <w:r w:rsidR="00CA225D" w:rsidRPr="000F1EA3">
        <w:t>S3</w:t>
      </w:r>
      <w:r w:rsidR="000466AB" w:rsidRPr="000F1EA3">
        <w:t xml:space="preserve">. </w:t>
      </w:r>
    </w:p>
    <w:p w:rsidR="00442AE9" w:rsidRPr="000F1EA3" w:rsidRDefault="00442AE9" w:rsidP="000466AB">
      <w:pPr>
        <w:pStyle w:val="TAMainText"/>
      </w:pPr>
    </w:p>
    <w:p w:rsidR="00DC573C" w:rsidRPr="000F1EA3" w:rsidRDefault="00DC573C" w:rsidP="00442AE9">
      <w:pPr>
        <w:spacing w:after="0"/>
        <w:jc w:val="center"/>
      </w:pPr>
    </w:p>
    <w:p w:rsidR="0098134A" w:rsidRPr="000F1EA3" w:rsidRDefault="0098134A" w:rsidP="00DC573C">
      <w:pPr>
        <w:jc w:val="center"/>
      </w:pPr>
    </w:p>
    <w:p w:rsidR="00946620" w:rsidRPr="000F1EA3" w:rsidRDefault="00946620" w:rsidP="00DC573C">
      <w:pPr>
        <w:jc w:val="center"/>
      </w:pPr>
      <w:r w:rsidRPr="000F1EA3">
        <w:rPr>
          <w:noProof/>
          <w:lang w:val="en-GB" w:eastAsia="en-GB" w:bidi="pa-IN"/>
        </w:rPr>
        <w:drawing>
          <wp:inline distT="0" distB="0" distL="0" distR="0">
            <wp:extent cx="4171950" cy="3024664"/>
            <wp:effectExtent l="0" t="0" r="0" b="4445"/>
            <wp:docPr id="10" name="Obraz 10" descr="D:\PUBLIKACJE MOJE sony\ACSSC&amp;E\do wysłania\Po POPRAWKACH\Figs NEW\RC IR without de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UBLIKACJE MOJE sony\ACSSC&amp;E\do wysłania\Po POPRAWKACH\Figs NEW\RC IR without desc.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134" cy="3029147"/>
                    </a:xfrm>
                    <a:prstGeom prst="rect">
                      <a:avLst/>
                    </a:prstGeom>
                    <a:noFill/>
                    <a:ln>
                      <a:noFill/>
                    </a:ln>
                  </pic:spPr>
                </pic:pic>
              </a:graphicData>
            </a:graphic>
          </wp:inline>
        </w:drawing>
      </w:r>
      <w:r w:rsidRPr="000F1EA3">
        <w:rPr>
          <w:noProof/>
          <w:lang w:val="en-GB" w:eastAsia="en-GB" w:bidi="pa-IN"/>
        </w:rPr>
        <w:drawing>
          <wp:inline distT="0" distB="0" distL="0" distR="0">
            <wp:extent cx="4191000" cy="3038475"/>
            <wp:effectExtent l="0" t="0" r="0" b="9525"/>
            <wp:docPr id="11" name="Obraz 11" descr="D:\PUBLIKACJE MOJE sony\ACSSC&amp;E\do wysłania\Po POPRAWKACH\Figs NEW\EC IR without de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UBLIKACJE MOJE sony\ACSSC&amp;E\do wysłania\Po POPRAWKACH\Figs NEW\EC IR without desc.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7741" cy="3043362"/>
                    </a:xfrm>
                    <a:prstGeom prst="rect">
                      <a:avLst/>
                    </a:prstGeom>
                    <a:noFill/>
                    <a:ln>
                      <a:noFill/>
                    </a:ln>
                  </pic:spPr>
                </pic:pic>
              </a:graphicData>
            </a:graphic>
          </wp:inline>
        </w:drawing>
      </w:r>
    </w:p>
    <w:p w:rsidR="00DC573C" w:rsidRPr="000F1EA3" w:rsidRDefault="00DC573C" w:rsidP="00DC573C">
      <w:pPr>
        <w:pStyle w:val="VAFigureCaption"/>
      </w:pPr>
      <w:r w:rsidRPr="000F1EA3">
        <w:rPr>
          <w:b/>
        </w:rPr>
        <w:t xml:space="preserve">Figure </w:t>
      </w:r>
      <w:r w:rsidR="004B3FCF" w:rsidRPr="000F1EA3">
        <w:rPr>
          <w:b/>
        </w:rPr>
        <w:t>8</w:t>
      </w:r>
      <w:r w:rsidRPr="000F1EA3">
        <w:rPr>
          <w:bCs/>
        </w:rPr>
        <w:t>.</w:t>
      </w:r>
      <w:r w:rsidRPr="000F1EA3">
        <w:t xml:space="preserve"> ATR-FTIR spectra of RC, RCBRs, RCPs (a) and EC, ECBRs, ECPs (b) samples.</w:t>
      </w:r>
    </w:p>
    <w:p w:rsidR="000466AB" w:rsidRPr="000F1EA3" w:rsidRDefault="000466AB" w:rsidP="00DC573C">
      <w:pPr>
        <w:pStyle w:val="TAMainText"/>
        <w:ind w:firstLine="0"/>
      </w:pPr>
      <w:r w:rsidRPr="000F1EA3">
        <w:t>The spectra of precipitates show strong absorption bands at 1625 cm</w:t>
      </w:r>
      <w:r w:rsidRPr="000F1EA3">
        <w:rPr>
          <w:vertAlign w:val="superscript"/>
        </w:rPr>
        <w:t>-1</w:t>
      </w:r>
      <w:r w:rsidRPr="000F1EA3">
        <w:t xml:space="preserve"> and 1534 cm</w:t>
      </w:r>
      <w:r w:rsidRPr="000F1EA3">
        <w:rPr>
          <w:vertAlign w:val="superscript"/>
        </w:rPr>
        <w:t>-1</w:t>
      </w:r>
      <w:r w:rsidRPr="000F1EA3">
        <w:t xml:space="preserve"> for RCPs and at 1648-1609 cm</w:t>
      </w:r>
      <w:r w:rsidRPr="000F1EA3">
        <w:rPr>
          <w:vertAlign w:val="superscript"/>
        </w:rPr>
        <w:t xml:space="preserve">-1 </w:t>
      </w:r>
      <w:r w:rsidRPr="000F1EA3">
        <w:t>and 1518 cm</w:t>
      </w:r>
      <w:r w:rsidRPr="000F1EA3">
        <w:rPr>
          <w:vertAlign w:val="superscript"/>
        </w:rPr>
        <w:t xml:space="preserve">-1 </w:t>
      </w:r>
      <w:r w:rsidRPr="000F1EA3">
        <w:t xml:space="preserve">for ECPs. These peaks can be assigned to amide I and amide </w:t>
      </w:r>
      <w:r w:rsidRPr="000F1EA3">
        <w:lastRenderedPageBreak/>
        <w:t>II bands, respectively.</w:t>
      </w:r>
      <w:r w:rsidR="0023380C" w:rsidRPr="000F1EA3">
        <w:rPr>
          <w:vertAlign w:val="superscript"/>
        </w:rPr>
        <w:t>70,71</w:t>
      </w:r>
      <w:r w:rsidRPr="000F1EA3">
        <w:t xml:space="preserve"> It should be added that these bands can overlap with aromatic skeletal vibrations of lignin.</w:t>
      </w:r>
      <w:r w:rsidR="0023380C" w:rsidRPr="000F1EA3">
        <w:rPr>
          <w:vertAlign w:val="superscript"/>
        </w:rPr>
        <w:t>72,73</w:t>
      </w:r>
      <w:r w:rsidRPr="000F1EA3">
        <w:t xml:space="preserve"> In addition, amide I band can overlap with the band of absorbed water.</w:t>
      </w:r>
      <w:r w:rsidR="0023380C" w:rsidRPr="000F1EA3">
        <w:rPr>
          <w:vertAlign w:val="superscript"/>
        </w:rPr>
        <w:t>74</w:t>
      </w:r>
      <w:r w:rsidRPr="000F1EA3">
        <w:t xml:space="preserve"> These amide bands are more prominent in the precipitates than in the </w:t>
      </w:r>
      <w:proofErr w:type="spellStart"/>
      <w:r w:rsidRPr="000F1EA3">
        <w:t>feedstocks</w:t>
      </w:r>
      <w:proofErr w:type="spellEnd"/>
      <w:r w:rsidRPr="000F1EA3">
        <w:t>.</w:t>
      </w:r>
    </w:p>
    <w:p w:rsidR="000466AB" w:rsidRPr="000F1EA3" w:rsidRDefault="000466AB" w:rsidP="000466AB">
      <w:pPr>
        <w:pStyle w:val="TAMainText"/>
      </w:pPr>
      <w:r w:rsidRPr="000F1EA3">
        <w:t>The presence of lignin in ECPs can be confirmed by band at 1282 cm</w:t>
      </w:r>
      <w:r w:rsidRPr="000F1EA3">
        <w:rPr>
          <w:vertAlign w:val="superscript"/>
        </w:rPr>
        <w:t>-1</w:t>
      </w:r>
      <w:r w:rsidRPr="000F1EA3">
        <w:t xml:space="preserve"> and 1441 cm</w:t>
      </w:r>
      <w:r w:rsidRPr="000F1EA3">
        <w:rPr>
          <w:vertAlign w:val="superscript"/>
        </w:rPr>
        <w:t xml:space="preserve">-1 </w:t>
      </w:r>
      <w:r w:rsidRPr="000F1EA3">
        <w:t xml:space="preserve">which can be attributed to </w:t>
      </w:r>
      <w:proofErr w:type="spellStart"/>
      <w:r w:rsidRPr="000F1EA3">
        <w:t>guaiacyl</w:t>
      </w:r>
      <w:proofErr w:type="spellEnd"/>
      <w:r w:rsidRPr="000F1EA3">
        <w:t xml:space="preserve"> ring breathing with C−O stretching</w:t>
      </w:r>
      <w:r w:rsidR="002A7CD2" w:rsidRPr="000F1EA3">
        <w:rPr>
          <w:vertAlign w:val="superscript"/>
        </w:rPr>
        <w:t>75</w:t>
      </w:r>
      <w:proofErr w:type="gramStart"/>
      <w:r w:rsidR="002A7CD2" w:rsidRPr="000F1EA3">
        <w:rPr>
          <w:vertAlign w:val="superscript"/>
        </w:rPr>
        <w:t>,76</w:t>
      </w:r>
      <w:proofErr w:type="gramEnd"/>
      <w:r w:rsidRPr="000F1EA3">
        <w:t xml:space="preserve"> and </w:t>
      </w:r>
      <w:r w:rsidRPr="000F1EA3">
        <w:rPr>
          <w:rFonts w:cs="AdvOT2e364b11"/>
        </w:rPr>
        <w:t>aromatic ring vibrations</w:t>
      </w:r>
      <w:r w:rsidRPr="000F1EA3">
        <w:t>,</w:t>
      </w:r>
      <w:r w:rsidR="002A7CD2" w:rsidRPr="000F1EA3">
        <w:rPr>
          <w:vertAlign w:val="superscript"/>
        </w:rPr>
        <w:t>76</w:t>
      </w:r>
      <w:r w:rsidRPr="000F1EA3">
        <w:t xml:space="preserve"> respectively. These bands are hardly visible in the RCP, ECBR and RCBR spectra. These results are consistent with the NMR data on which the signals from aromatic carbons are clearly visible on the ECP spectra, in contrast to the RCP, ECBR and RCBR.</w:t>
      </w:r>
    </w:p>
    <w:p w:rsidR="000466AB" w:rsidRPr="000F1EA3" w:rsidRDefault="000466AB" w:rsidP="000466AB">
      <w:pPr>
        <w:pStyle w:val="TAMainText"/>
      </w:pPr>
      <w:r w:rsidRPr="000F1EA3">
        <w:t>The lignin absorption bands at the range 1200-1000 cm</w:t>
      </w:r>
      <w:r w:rsidRPr="000F1EA3">
        <w:rPr>
          <w:vertAlign w:val="superscript"/>
        </w:rPr>
        <w:t>-1</w:t>
      </w:r>
      <w:r w:rsidRPr="000F1EA3">
        <w:t xml:space="preserve"> are overlap with bands of carbohydrate and make specific assignment difficult. Nevertheless, there are differences in the spectra of precipitates and biomass residues in this region. A significant increase of bands in the region 1150-950 cm</w:t>
      </w:r>
      <w:r w:rsidRPr="000F1EA3">
        <w:rPr>
          <w:vertAlign w:val="superscript"/>
        </w:rPr>
        <w:t>−1</w:t>
      </w:r>
      <w:r w:rsidRPr="000F1EA3">
        <w:t xml:space="preserve"> </w:t>
      </w:r>
      <w:proofErr w:type="gramStart"/>
      <w:r w:rsidRPr="000F1EA3">
        <w:t>is observed</w:t>
      </w:r>
      <w:proofErr w:type="gramEnd"/>
      <w:r w:rsidRPr="000F1EA3">
        <w:t xml:space="preserve"> in ECBRs spectra, reflecting an increase of carbohydrates content in biomass after DES treatment. In the spectra of ECPs, bands in the range of 1000-950 cm</w:t>
      </w:r>
      <w:r w:rsidRPr="000F1EA3">
        <w:rPr>
          <w:vertAlign w:val="superscript"/>
        </w:rPr>
        <w:t>−1</w:t>
      </w:r>
      <w:r w:rsidRPr="000F1EA3">
        <w:t xml:space="preserve"> are negligible. This can infer that ECP does not contain significant amounts of carbohydrates, agreeing with the already discussed </w:t>
      </w:r>
      <w:r w:rsidRPr="000F1EA3">
        <w:rPr>
          <w:vertAlign w:val="superscript"/>
        </w:rPr>
        <w:t>13</w:t>
      </w:r>
      <w:r w:rsidRPr="000F1EA3">
        <w:t>C CP-MAS NMR analysis. Absorption bands in the range of 1100-950 cm</w:t>
      </w:r>
      <w:r w:rsidRPr="000F1EA3">
        <w:rPr>
          <w:vertAlign w:val="superscript"/>
        </w:rPr>
        <w:t>-</w:t>
      </w:r>
      <w:proofErr w:type="gramStart"/>
      <w:r w:rsidRPr="000F1EA3">
        <w:rPr>
          <w:vertAlign w:val="superscript"/>
        </w:rPr>
        <w:t>1</w:t>
      </w:r>
      <w:proofErr w:type="gramEnd"/>
      <w:r w:rsidRPr="000F1EA3">
        <w:t xml:space="preserve"> in the spectra of RCPs indicates the presence of carbohydrates, which was also confirmed by NMR analysis. Given the poor solubility of cellulose in DES, it is most likely that these bands refer to hemicellulose and/or </w:t>
      </w:r>
      <w:proofErr w:type="spellStart"/>
      <w:r w:rsidRPr="000F1EA3">
        <w:t>pectinaceous</w:t>
      </w:r>
      <w:proofErr w:type="spellEnd"/>
      <w:r w:rsidRPr="000F1EA3">
        <w:t xml:space="preserve"> matter.</w:t>
      </w:r>
    </w:p>
    <w:p w:rsidR="000466AB" w:rsidRPr="000F1EA3" w:rsidRDefault="000466AB" w:rsidP="000466AB">
      <w:pPr>
        <w:pStyle w:val="TAMainText"/>
      </w:pPr>
      <w:r w:rsidRPr="000F1EA3">
        <w:t>The absorption band at 1743 cm</w:t>
      </w:r>
      <w:r w:rsidRPr="000F1EA3">
        <w:rPr>
          <w:vertAlign w:val="superscript"/>
        </w:rPr>
        <w:t>-1</w:t>
      </w:r>
      <w:r w:rsidRPr="000F1EA3">
        <w:t xml:space="preserve">, corresponding to the carbonyl group, </w:t>
      </w:r>
      <w:proofErr w:type="gramStart"/>
      <w:r w:rsidRPr="000F1EA3">
        <w:t>can be derived</w:t>
      </w:r>
      <w:proofErr w:type="gramEnd"/>
      <w:r w:rsidRPr="000F1EA3">
        <w:t xml:space="preserve"> from hemicellulose, pectin and/or lignin. In ECPs and RCPs </w:t>
      </w:r>
      <w:proofErr w:type="gramStart"/>
      <w:r w:rsidRPr="000F1EA3">
        <w:t>spectra</w:t>
      </w:r>
      <w:proofErr w:type="gramEnd"/>
      <w:r w:rsidRPr="000F1EA3">
        <w:t xml:space="preserve"> the intensity of this band decrease in intensity as DES treatment temperature increases.</w:t>
      </w:r>
    </w:p>
    <w:p w:rsidR="0048183F" w:rsidRPr="000F1EA3" w:rsidRDefault="00491468" w:rsidP="009A7D99">
      <w:pPr>
        <w:pStyle w:val="TAMainText"/>
      </w:pPr>
      <w:proofErr w:type="spellStart"/>
      <w:r w:rsidRPr="000F1EA3">
        <w:rPr>
          <w:b/>
        </w:rPr>
        <w:t>Thermogravimetric</w:t>
      </w:r>
      <w:proofErr w:type="spellEnd"/>
      <w:r w:rsidRPr="000F1EA3">
        <w:rPr>
          <w:b/>
        </w:rPr>
        <w:t xml:space="preserve"> Analysis (TGA).</w:t>
      </w:r>
      <w:r w:rsidRPr="000F1EA3">
        <w:t xml:space="preserve"> The DTG curves of rapeseed and evening primrose sample groups </w:t>
      </w:r>
      <w:proofErr w:type="gramStart"/>
      <w:r w:rsidRPr="000F1EA3">
        <w:t>are shown</w:t>
      </w:r>
      <w:proofErr w:type="gramEnd"/>
      <w:r w:rsidRPr="000F1EA3">
        <w:t xml:space="preserve"> in </w:t>
      </w:r>
      <w:r w:rsidR="00CF7B84" w:rsidRPr="000F1EA3">
        <w:t xml:space="preserve">Figures </w:t>
      </w:r>
      <w:r w:rsidR="006C1C70" w:rsidRPr="000F1EA3">
        <w:t xml:space="preserve">9 </w:t>
      </w:r>
      <w:r w:rsidR="00CF7B84" w:rsidRPr="000F1EA3">
        <w:t xml:space="preserve">and </w:t>
      </w:r>
      <w:r w:rsidR="006C1C70" w:rsidRPr="000F1EA3">
        <w:t>10</w:t>
      </w:r>
      <w:r w:rsidRPr="000F1EA3">
        <w:t xml:space="preserve">, respectively. </w:t>
      </w:r>
    </w:p>
    <w:p w:rsidR="0048183F" w:rsidRPr="000F1EA3" w:rsidRDefault="0048183F" w:rsidP="0048183F">
      <w:pPr>
        <w:jc w:val="center"/>
      </w:pPr>
      <w:r w:rsidRPr="000F1EA3">
        <w:rPr>
          <w:noProof/>
          <w:lang w:val="en-GB" w:eastAsia="en-GB" w:bidi="pa-IN"/>
        </w:rPr>
        <w:lastRenderedPageBreak/>
        <w:drawing>
          <wp:inline distT="0" distB="0" distL="0" distR="0" wp14:anchorId="21236F14" wp14:editId="67691E64">
            <wp:extent cx="3981893" cy="2133600"/>
            <wp:effectExtent l="0" t="0" r="0" b="0"/>
            <wp:docPr id="31" name="Obraz 31" descr="D:\PUBLIKACJE MOJE sony\ACSSC&amp;E\Figs\PO GIMP\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UBLIKACJE MOJE sony\ACSSC&amp;E\Figs\PO GIMP\Figure 1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7777" cy="2136753"/>
                    </a:xfrm>
                    <a:prstGeom prst="rect">
                      <a:avLst/>
                    </a:prstGeom>
                    <a:noFill/>
                    <a:ln>
                      <a:noFill/>
                    </a:ln>
                  </pic:spPr>
                </pic:pic>
              </a:graphicData>
            </a:graphic>
          </wp:inline>
        </w:drawing>
      </w:r>
    </w:p>
    <w:p w:rsidR="0048183F" w:rsidRPr="000F1EA3" w:rsidRDefault="0048183F" w:rsidP="0048183F">
      <w:pPr>
        <w:pStyle w:val="VAFigureCaption"/>
      </w:pPr>
      <w:r w:rsidRPr="000F1EA3">
        <w:rPr>
          <w:b/>
        </w:rPr>
        <w:t xml:space="preserve">Figure </w:t>
      </w:r>
      <w:r w:rsidR="006C1C70" w:rsidRPr="000F1EA3">
        <w:rPr>
          <w:b/>
        </w:rPr>
        <w:t>9</w:t>
      </w:r>
      <w:r w:rsidRPr="000F1EA3">
        <w:rPr>
          <w:bCs/>
        </w:rPr>
        <w:t xml:space="preserve">. </w:t>
      </w:r>
      <w:r w:rsidRPr="000F1EA3">
        <w:t xml:space="preserve">DTG </w:t>
      </w:r>
      <w:proofErr w:type="spellStart"/>
      <w:r w:rsidRPr="000F1EA3">
        <w:t>thermograms</w:t>
      </w:r>
      <w:proofErr w:type="spellEnd"/>
      <w:r w:rsidRPr="000F1EA3">
        <w:t xml:space="preserve"> of RC and RCPs samples.</w:t>
      </w:r>
    </w:p>
    <w:p w:rsidR="0048183F" w:rsidRPr="000F1EA3" w:rsidRDefault="0048183F" w:rsidP="0048183F">
      <w:pPr>
        <w:jc w:val="center"/>
      </w:pPr>
      <w:r w:rsidRPr="000F1EA3">
        <w:rPr>
          <w:noProof/>
          <w:lang w:val="en-GB" w:eastAsia="en-GB" w:bidi="pa-IN"/>
        </w:rPr>
        <w:drawing>
          <wp:inline distT="0" distB="0" distL="0" distR="0" wp14:anchorId="46BFD126" wp14:editId="47C76B15">
            <wp:extent cx="4143375" cy="2220126"/>
            <wp:effectExtent l="0" t="0" r="0" b="8890"/>
            <wp:docPr id="32" name="Obraz 32" descr="D:\PUBLIKACJE MOJE sony\ACSSC&amp;E\Figs\PO GIMP\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UBLIKACJE MOJE sony\ACSSC&amp;E\Figs\PO GIMP\Figure 1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8720" cy="2222990"/>
                    </a:xfrm>
                    <a:prstGeom prst="rect">
                      <a:avLst/>
                    </a:prstGeom>
                    <a:noFill/>
                    <a:ln>
                      <a:noFill/>
                    </a:ln>
                  </pic:spPr>
                </pic:pic>
              </a:graphicData>
            </a:graphic>
          </wp:inline>
        </w:drawing>
      </w:r>
    </w:p>
    <w:p w:rsidR="0048183F" w:rsidRPr="000F1EA3" w:rsidRDefault="0048183F" w:rsidP="0048183F">
      <w:pPr>
        <w:pStyle w:val="VAFigureCaption"/>
      </w:pPr>
      <w:r w:rsidRPr="000F1EA3">
        <w:rPr>
          <w:b/>
        </w:rPr>
        <w:t xml:space="preserve">Figure </w:t>
      </w:r>
      <w:r w:rsidR="006C1C70" w:rsidRPr="000F1EA3">
        <w:rPr>
          <w:b/>
        </w:rPr>
        <w:t>10</w:t>
      </w:r>
      <w:r w:rsidRPr="000F1EA3">
        <w:rPr>
          <w:bCs/>
        </w:rPr>
        <w:t>.</w:t>
      </w:r>
      <w:r w:rsidRPr="000F1EA3">
        <w:t xml:space="preserve"> DTG </w:t>
      </w:r>
      <w:proofErr w:type="spellStart"/>
      <w:r w:rsidRPr="000F1EA3">
        <w:t>thermograms</w:t>
      </w:r>
      <w:proofErr w:type="spellEnd"/>
      <w:r w:rsidRPr="000F1EA3">
        <w:t xml:space="preserve"> of EC and ECPs samples.</w:t>
      </w:r>
    </w:p>
    <w:p w:rsidR="00491468" w:rsidRPr="000F1EA3" w:rsidRDefault="00491468" w:rsidP="0048183F">
      <w:pPr>
        <w:pStyle w:val="TAMainText"/>
        <w:ind w:firstLine="0"/>
      </w:pPr>
      <w:r w:rsidRPr="000F1EA3">
        <w:t xml:space="preserve">Starting with the rapeseed group (Figure </w:t>
      </w:r>
      <w:r w:rsidR="006A7994" w:rsidRPr="000F1EA3">
        <w:t>9</w:t>
      </w:r>
      <w:r w:rsidRPr="000F1EA3">
        <w:t xml:space="preserve">), at least three major mass loss bands </w:t>
      </w:r>
      <w:proofErr w:type="gramStart"/>
      <w:r w:rsidRPr="000F1EA3">
        <w:t>were identified</w:t>
      </w:r>
      <w:proofErr w:type="gramEnd"/>
      <w:r w:rsidRPr="000F1EA3">
        <w:t>. The first band, with a max. degradation rate (Td) around 80-100 °C, can be assigned to the loss of moisture and volatiles present in the samples, the second and third bands (Td ~340 °C and ~390 °C, respectively) may derive from the overlap of both, proteins and lignin decomposition patterns. However, it is known that rapeseed proteins have a major mass loss between 250-350 °C</w:t>
      </w:r>
      <w:proofErr w:type="gramStart"/>
      <w:r w:rsidRPr="000F1EA3">
        <w:t>,</w:t>
      </w:r>
      <w:r w:rsidR="00042525" w:rsidRPr="000F1EA3">
        <w:rPr>
          <w:rStyle w:val="RSCB02ArticleTextChar"/>
          <w:rFonts w:ascii="Times" w:hAnsi="Times"/>
          <w:w w:val="100"/>
          <w:sz w:val="24"/>
          <w:szCs w:val="20"/>
          <w:vertAlign w:val="superscript"/>
          <w:lang w:val="en-US"/>
        </w:rPr>
        <w:t>77</w:t>
      </w:r>
      <w:proofErr w:type="gramEnd"/>
      <w:r w:rsidRPr="000F1EA3">
        <w:t xml:space="preserve"> which would correspond to the second major band, with Td ~340 °C. Also, the presence of a band with Td between 200-250 </w:t>
      </w:r>
      <w:r w:rsidR="00885527" w:rsidRPr="000F1EA3">
        <w:t>°C in the feedstock (RC, Figure</w:t>
      </w:r>
      <w:r w:rsidRPr="000F1EA3">
        <w:t xml:space="preserve"> </w:t>
      </w:r>
      <w:r w:rsidR="006A7994" w:rsidRPr="000F1EA3">
        <w:t>9</w:t>
      </w:r>
      <w:r w:rsidRPr="000F1EA3">
        <w:t>) and in the biomass residues (</w:t>
      </w:r>
      <w:r w:rsidR="00CF7B84" w:rsidRPr="000F1EA3">
        <w:t xml:space="preserve">Figures </w:t>
      </w:r>
      <w:r w:rsidR="00A8315E" w:rsidRPr="000F1EA3">
        <w:t xml:space="preserve">S6 </w:t>
      </w:r>
      <w:r w:rsidR="00CF7B84" w:rsidRPr="000F1EA3">
        <w:lastRenderedPageBreak/>
        <w:t xml:space="preserve">and </w:t>
      </w:r>
      <w:r w:rsidR="00A8315E" w:rsidRPr="000F1EA3">
        <w:t>S7</w:t>
      </w:r>
      <w:r w:rsidRPr="000F1EA3">
        <w:t>) suggests that polysaccharides (pectin, hemicellulose)</w:t>
      </w:r>
      <w:r w:rsidR="00042525" w:rsidRPr="000F1EA3">
        <w:rPr>
          <w:rStyle w:val="RSCB02ArticleTextChar"/>
          <w:rFonts w:ascii="Times" w:hAnsi="Times"/>
          <w:w w:val="100"/>
          <w:sz w:val="24"/>
          <w:szCs w:val="20"/>
          <w:vertAlign w:val="superscript"/>
          <w:lang w:val="en-US"/>
        </w:rPr>
        <w:t>49</w:t>
      </w:r>
      <w:r w:rsidRPr="000F1EA3">
        <w:t xml:space="preserve"> present in RC are not extracted by DES, remaining in the final solid residue.</w:t>
      </w:r>
    </w:p>
    <w:p w:rsidR="00491468" w:rsidRPr="000F1EA3" w:rsidRDefault="009A7D99" w:rsidP="009A7D99">
      <w:pPr>
        <w:pStyle w:val="TAMainText"/>
      </w:pPr>
      <w:r w:rsidRPr="000F1EA3">
        <w:t xml:space="preserve">Similar pattern is observed for the evening primrose group (Figure </w:t>
      </w:r>
      <w:r w:rsidR="00A8315E" w:rsidRPr="000F1EA3">
        <w:t>10</w:t>
      </w:r>
      <w:r w:rsidRPr="000F1EA3">
        <w:t>), however, more lignin is presented in the ECPs than in RCPs, which is evidenced by the broad and slow-rate mass loss pattern with a Td around 400 °C, characteristic of lignin.</w:t>
      </w:r>
      <w:r w:rsidR="00042525" w:rsidRPr="000F1EA3">
        <w:rPr>
          <w:vertAlign w:val="superscript"/>
        </w:rPr>
        <w:t>78-81</w:t>
      </w:r>
      <w:r w:rsidRPr="000F1EA3">
        <w:t xml:space="preserve"> The protein Td (around 350 °C) is overlapped by the lignin mass loss contribution.</w:t>
      </w:r>
    </w:p>
    <w:p w:rsidR="00285138" w:rsidRPr="000F1EA3" w:rsidRDefault="00285138" w:rsidP="009A7D99">
      <w:pPr>
        <w:pStyle w:val="TAMainText"/>
      </w:pPr>
    </w:p>
    <w:p w:rsidR="001C0C63" w:rsidRPr="000F1EA3" w:rsidRDefault="002E04A0" w:rsidP="00285138">
      <w:pPr>
        <w:pStyle w:val="TAMainText"/>
        <w:spacing w:after="120"/>
        <w:ind w:firstLine="0"/>
        <w:jc w:val="left"/>
        <w:rPr>
          <w:b/>
          <w:bCs/>
        </w:rPr>
      </w:pPr>
      <w:r w:rsidRPr="000F1EA3">
        <w:rPr>
          <w:b/>
          <w:bCs/>
        </w:rPr>
        <w:t>CONCLUSION</w:t>
      </w:r>
      <w:r w:rsidR="00DD54CB" w:rsidRPr="000F1EA3">
        <w:rPr>
          <w:b/>
          <w:bCs/>
        </w:rPr>
        <w:t>S</w:t>
      </w:r>
    </w:p>
    <w:p w:rsidR="00B25DB0" w:rsidRPr="000F1EA3" w:rsidRDefault="00B25DB0" w:rsidP="00B25DB0">
      <w:pPr>
        <w:pStyle w:val="TAMainText"/>
      </w:pPr>
      <w:r w:rsidRPr="000F1EA3">
        <w:t xml:space="preserve">As the global population </w:t>
      </w:r>
      <w:proofErr w:type="gramStart"/>
      <w:r w:rsidRPr="000F1EA3">
        <w:t>is expected</w:t>
      </w:r>
      <w:proofErr w:type="gramEnd"/>
      <w:r w:rsidRPr="000F1EA3">
        <w:t xml:space="preserve"> to increase to 9 billion by 2050, the need for global protein to feed a growing population will increase commensurately. New sources of protein </w:t>
      </w:r>
      <w:proofErr w:type="gramStart"/>
      <w:r w:rsidRPr="000F1EA3">
        <w:t>will be needed</w:t>
      </w:r>
      <w:proofErr w:type="gramEnd"/>
      <w:r w:rsidRPr="000F1EA3">
        <w:t xml:space="preserve"> beyond animal-derived. Agricultural residues and </w:t>
      </w:r>
      <w:proofErr w:type="gramStart"/>
      <w:r w:rsidRPr="000F1EA3">
        <w:t>food supply chain wastes</w:t>
      </w:r>
      <w:proofErr w:type="gramEnd"/>
      <w:r w:rsidRPr="000F1EA3">
        <w:t xml:space="preserve"> are expected to be interesting sources of vegetable protein to supplement global need.</w:t>
      </w:r>
    </w:p>
    <w:p w:rsidR="00B25DB0" w:rsidRPr="000F1EA3" w:rsidRDefault="00B25DB0" w:rsidP="00B25DB0">
      <w:pPr>
        <w:pStyle w:val="TAMainText"/>
      </w:pPr>
      <w:r w:rsidRPr="000F1EA3">
        <w:t xml:space="preserve">The novel methodology used in this work demonstrates a suitable green alternative for the extraction of vegetable protein </w:t>
      </w:r>
      <w:r w:rsidRPr="000F1EA3">
        <w:rPr>
          <w:i/>
        </w:rPr>
        <w:t>via</w:t>
      </w:r>
      <w:r w:rsidRPr="000F1EA3">
        <w:t xml:space="preserve"> pretreatment of oilseed cakes (rapeseed and evening primrose) with DES (</w:t>
      </w:r>
      <w:proofErr w:type="spellStart"/>
      <w:r w:rsidRPr="000F1EA3">
        <w:t>Glyceline</w:t>
      </w:r>
      <w:proofErr w:type="spellEnd"/>
      <w:r w:rsidRPr="000F1EA3">
        <w:t xml:space="preserve">). Protein-rich precipitates </w:t>
      </w:r>
      <w:proofErr w:type="gramStart"/>
      <w:r w:rsidRPr="000F1EA3">
        <w:t>were obtained</w:t>
      </w:r>
      <w:proofErr w:type="gramEnd"/>
      <w:r w:rsidRPr="000F1EA3">
        <w:t xml:space="preserve"> by adding water (</w:t>
      </w:r>
      <w:proofErr w:type="spellStart"/>
      <w:r w:rsidRPr="000F1EA3">
        <w:t>antisolvent</w:t>
      </w:r>
      <w:proofErr w:type="spellEnd"/>
      <w:r w:rsidRPr="000F1EA3">
        <w:t xml:space="preserve">) to the DES extract. The presence of proteins in precipitates </w:t>
      </w:r>
      <w:proofErr w:type="gramStart"/>
      <w:r w:rsidRPr="000F1EA3">
        <w:t>has been confirmed</w:t>
      </w:r>
      <w:proofErr w:type="gramEnd"/>
      <w:r w:rsidRPr="000F1EA3">
        <w:t xml:space="preserve"> by several techniques. The most promising results </w:t>
      </w:r>
      <w:proofErr w:type="gramStart"/>
      <w:r w:rsidRPr="000F1EA3">
        <w:t>were obtained</w:t>
      </w:r>
      <w:proofErr w:type="gramEnd"/>
      <w:r w:rsidRPr="000F1EA3">
        <w:t xml:space="preserve"> during the pretreatment of RC with DES. The precipitates obtained after treatment at 60 ˚C (RCP60) and 100 ˚C (RCP100) contain 4% and 9%, respectively, more protein compared to the initial rapeseed cake (RC). </w:t>
      </w:r>
      <w:proofErr w:type="spellStart"/>
      <w:r w:rsidRPr="000F1EA3">
        <w:t>Cruciferin</w:t>
      </w:r>
      <w:proofErr w:type="spellEnd"/>
      <w:r w:rsidRPr="000F1EA3">
        <w:t xml:space="preserve">-rich RCP60 and RCP100 have the desired, light color, which can be much more favorably assessed by consumers than colored RC. </w:t>
      </w:r>
    </w:p>
    <w:p w:rsidR="00B25DB0" w:rsidRPr="000F1EA3" w:rsidRDefault="00B25DB0" w:rsidP="00B25DB0">
      <w:pPr>
        <w:pStyle w:val="TAMainText"/>
      </w:pPr>
      <w:r w:rsidRPr="000F1EA3">
        <w:t xml:space="preserve">Proteins obtained from oil cakes (especially from rapeseed) can be an alternative to soy proteins, the most commonly used vegetable proteins. The use of the double-low variety of rapeseed </w:t>
      </w:r>
      <w:r w:rsidRPr="000F1EA3">
        <w:lastRenderedPageBreak/>
        <w:t xml:space="preserve">(canola) can result in high </w:t>
      </w:r>
      <w:proofErr w:type="gramStart"/>
      <w:r w:rsidRPr="000F1EA3">
        <w:t>quality food grade proteins</w:t>
      </w:r>
      <w:proofErr w:type="gramEnd"/>
      <w:r w:rsidRPr="000F1EA3">
        <w:t>. This work is undoubtedly a valuable source of information for producers of edible oils, biodiesel, pharmaceutical companies and other entities involved in the production of functional foods and nutraceuticals. Pretreatment of oilseed cake with natural products based-DES (</w:t>
      </w:r>
      <w:proofErr w:type="spellStart"/>
      <w:r w:rsidRPr="000F1EA3">
        <w:t>Glyceline</w:t>
      </w:r>
      <w:proofErr w:type="spellEnd"/>
      <w:r w:rsidRPr="000F1EA3">
        <w:t>) open a new way to green extraction of vegetable protein with simultaneous possibility of reprocessed by-products in vegetable oil industry.</w:t>
      </w:r>
    </w:p>
    <w:p w:rsidR="00992957" w:rsidRPr="000F1EA3" w:rsidRDefault="00B25DB0" w:rsidP="00A57255">
      <w:pPr>
        <w:pStyle w:val="TAMainText"/>
      </w:pPr>
      <w:r w:rsidRPr="000F1EA3">
        <w:t xml:space="preserve">Deeper studies of precipitates </w:t>
      </w:r>
      <w:proofErr w:type="gramStart"/>
      <w:r w:rsidRPr="000F1EA3">
        <w:t>are needed</w:t>
      </w:r>
      <w:proofErr w:type="gramEnd"/>
      <w:r w:rsidRPr="000F1EA3">
        <w:t xml:space="preserve">, including determination of undesirable compounds such as </w:t>
      </w:r>
      <w:proofErr w:type="spellStart"/>
      <w:r w:rsidRPr="000F1EA3">
        <w:t>glucosinolates</w:t>
      </w:r>
      <w:proofErr w:type="spellEnd"/>
      <w:r w:rsidRPr="000F1EA3">
        <w:t xml:space="preserve">, phenolic compounds, dietary fiber and </w:t>
      </w:r>
      <w:proofErr w:type="spellStart"/>
      <w:r w:rsidRPr="000F1EA3">
        <w:t>phytates</w:t>
      </w:r>
      <w:proofErr w:type="spellEnd"/>
      <w:r w:rsidRPr="000F1EA3">
        <w:t xml:space="preserve"> to gain insight into the possibilities of their use for food applications. It is also very important to examine the functional properties (</w:t>
      </w:r>
      <w:r w:rsidRPr="000F1EA3">
        <w:rPr>
          <w:i/>
        </w:rPr>
        <w:t>e.g.</w:t>
      </w:r>
      <w:r w:rsidRPr="000F1EA3">
        <w:t xml:space="preserve"> solubility, emulsifying ability, foaming properties, </w:t>
      </w:r>
      <w:proofErr w:type="gramStart"/>
      <w:r w:rsidRPr="000F1EA3">
        <w:t>gel</w:t>
      </w:r>
      <w:proofErr w:type="gramEnd"/>
      <w:r w:rsidRPr="000F1EA3">
        <w:t xml:space="preserve"> and film formation) of the precipitates obtained. This information can also be valuable due to the non-food application of vegetable proteins, </w:t>
      </w:r>
      <w:r w:rsidRPr="000F1EA3">
        <w:rPr>
          <w:i/>
        </w:rPr>
        <w:t>e.g</w:t>
      </w:r>
      <w:r w:rsidRPr="000F1EA3">
        <w:t>. for the production of films with water barrier properties, hydrogels, surfactants or bioplastics.</w:t>
      </w:r>
      <w:r w:rsidRPr="000F1EA3">
        <w:fldChar w:fldCharType="begin" w:fldLock="1"/>
      </w:r>
      <w:r w:rsidR="00021D26" w:rsidRPr="000F1EA3">
        <w:instrText>ADDIN CSL_CITATION { "citationItems" : [ { "id" : "ITEM-1", "itemData" : { "DOI" : "10.1051/ocl/2016028", "ISBN" : "1258-8210", "ISSN" : "2272-6977", "abstract" : "\u2013 Protein rich meal is a valuable co-product of canola/rapeseed oil extraction. Seed storage proteins that include cruciferin (11S) and napin (2S) dominate the protein complement of canola while oleosins, lipid transfer pro-teins and other minor proteins of non-storage nature are also found. Although oil-free canola meal contains 36\u201340% protein on a dry weight basis, non-protein components including fibre, polymeric phenolics, phytates and sinapine, etc. of the seed coat and cellular components make protein less suitable for food use. Separation of canola protein from non-protein components is a technical challenge but necessary to obtain full nutritional and functional potential of protein. Process conditions of raw material and protein preparation are critical of nutritional and functional value of the final protein product. The storage proteins of canola can satisfy many nutritional and functional requirements for food applications. Protein macromolecules of canola also provide functionalities required in applications beyond edible uses; there exists substantial potential as a source of plant protein and a renewable biopolymer. Available information at present is mostly based on the protein products that can be obtained as mixtures of storage protein types and other chemical constituents of the seed; therefore, full potential of canola storage proteins is yet to be revealed. R\u00e9sum\u00e9 \u2013 Prot\u00e9ines de canola et de colza : fonctionnalit\u00e9s et nutrition. Les tourteaux riches en prot\u00e9ines repr\u00e9-sentent un coproduit de valeur de l'extraction de l'huile de canola/colza. Dans la graine, les prot\u00e9ines de stockage, notamment la crucif\u00e9rine (11S) et la napine (2S), dominent la fraction prot\u00e9ique du canola, mais des ol\u00e9osines, des prot\u00e9ines de transfert de lipides et d'autres prot\u00e9ines mineures non d\u00e9di\u00e9es au stockage sont \u00e9galement pr\u00e9sentes. Bien que le tourteau de canola d\u00e9shuil\u00e9 contienne 36\u201340 % de prot\u00e9ines sur poids sec, la pr\u00e9sence de composants non pro-t\u00e9iques, dont les fibres, les polym\u00e8res ph\u00e9noliques, les phytates, la sinapine, etc. issus de l'enveloppe de la graine et des composants cellulaires rendent les prot\u00e9ines moins appropri\u00e9es \u00e0 une utilisation en alimentation humaine. Cette revue pr\u00e9sente les connaissances actuelles en termes de valeur nutritionnelle et fonctionnelle des prot\u00e9ines issues des graines de canola. La s\u00e9paration des prot\u00e9ines de canola des composants non prot\u00e9iques repr\u00e9sente un d\u00e9fi technique mais n\u00e9cessaire pour lib\u00e9rer totalement \u2026", "author" : [ { "dropping-particle" : "", "family" : "Wanasundara", "given" : "Janitha P.D.", "non-dropping-particle" : "", "parse-names" : false, "suffix" : "" }, { "dropping-particle" : "", "family" : "McIntosh", "given" : "Tara C.", "non-dropping-particle" : "", "parse-names" : false, "suffix" : "" }, { "dropping-particle" : "", "family" : "Perera", "given" : "Suneru P", "non-dropping-particle" : "", "parse-names" : false, "suffix" : "" }, { "dropping-particle" : "", "family" : "Withana-Gamage", "given" : "Thushan S", "non-dropping-particle" : "", "parse-names" : false, "suffix" : "" }, { "dropping-particle" : "", "family" : "Mitra", "given" : "Pranabendu", "non-dropping-particle" : "", "parse-names" : false, "suffix" : "" } ], "container-title" : "OCL", "id" : "ITEM-1", "issue" : "4", "issued" : { "date-parts" : [ [ "2016" ] ] }, "page" : "D407", "title" : "Canola/rapeseed protein-functionality and nutrition", "type" : "article-journal", "volume" : "23" }, "uris" : [ "http://www.mendeley.com/documents/?uuid=763d4d89-027a-470f-b70d-03c6561257cf" ] } ], "mendeley" : { "formattedCitation" : "&lt;sup&gt;6&lt;/sup&gt;", "plainTextFormattedCitation" : "6", "previouslyFormattedCitation" : "&lt;sup&gt;6&lt;/sup&gt;" }, "properties" : { "noteIndex" : 0 }, "schema" : "https://github.com/citation-style-language/schema/raw/master/csl-citation.json" }</w:instrText>
      </w:r>
      <w:r w:rsidRPr="000F1EA3">
        <w:fldChar w:fldCharType="separate"/>
      </w:r>
      <w:r w:rsidR="00021D26" w:rsidRPr="000F1EA3">
        <w:rPr>
          <w:noProof/>
          <w:vertAlign w:val="superscript"/>
        </w:rPr>
        <w:t>6</w:t>
      </w:r>
      <w:r w:rsidRPr="000F1EA3">
        <w:fldChar w:fldCharType="end"/>
      </w:r>
      <w:proofErr w:type="gramStart"/>
      <w:r w:rsidRPr="000F1EA3">
        <w:rPr>
          <w:vertAlign w:val="superscript"/>
        </w:rPr>
        <w:t>,</w:t>
      </w:r>
      <w:r w:rsidR="00042525" w:rsidRPr="000F1EA3">
        <w:rPr>
          <w:vertAlign w:val="superscript"/>
        </w:rPr>
        <w:t>82</w:t>
      </w:r>
      <w:proofErr w:type="gramEnd"/>
      <w:r w:rsidRPr="000F1EA3">
        <w:t xml:space="preserve"> In the future, the analysis of the composition of the solution separated from the precipitate, and the possibility of recovery and reuse of DES should be carried out. The challenge is also a sustainable management of biomass residues obtained after DES pretreatment.</w:t>
      </w:r>
    </w:p>
    <w:p w:rsidR="00A57255" w:rsidRPr="000F1EA3" w:rsidRDefault="00A57255" w:rsidP="00A57255">
      <w:pPr>
        <w:pStyle w:val="TAMainText"/>
        <w:rPr>
          <w:b/>
        </w:rPr>
      </w:pPr>
    </w:p>
    <w:p w:rsidR="00DD6DBB" w:rsidRPr="000F1EA3" w:rsidRDefault="00C10EE0" w:rsidP="00285138">
      <w:pPr>
        <w:pStyle w:val="TESupportingInformation"/>
        <w:spacing w:after="120"/>
        <w:ind w:firstLine="0"/>
        <w:jc w:val="left"/>
        <w:rPr>
          <w:b/>
        </w:rPr>
      </w:pPr>
      <w:r w:rsidRPr="000F1EA3">
        <w:rPr>
          <w:b/>
        </w:rPr>
        <w:t>ASSOCIATED CONTENT</w:t>
      </w:r>
    </w:p>
    <w:p w:rsidR="00C10EE0" w:rsidRPr="000F1EA3" w:rsidRDefault="00C10EE0" w:rsidP="000B5610">
      <w:pPr>
        <w:pStyle w:val="TESupportingInformation"/>
        <w:spacing w:after="240"/>
        <w:ind w:firstLine="0"/>
        <w:jc w:val="left"/>
      </w:pPr>
      <w:r w:rsidRPr="000F1EA3">
        <w:rPr>
          <w:b/>
        </w:rPr>
        <w:t>Supporting Information</w:t>
      </w:r>
    </w:p>
    <w:p w:rsidR="00627F11" w:rsidRPr="000F1EA3" w:rsidRDefault="005A5A1B" w:rsidP="00627F11">
      <w:pPr>
        <w:pStyle w:val="TESupportingInformation"/>
        <w:ind w:firstLine="0"/>
      </w:pPr>
      <w:r w:rsidRPr="000F1EA3">
        <w:t>Instrumental e</w:t>
      </w:r>
      <w:r w:rsidR="00627F11" w:rsidRPr="000F1EA3">
        <w:t xml:space="preserve">xperimental data, CHN, TG, DTG, </w:t>
      </w:r>
      <w:r w:rsidR="00627F11" w:rsidRPr="000F1EA3">
        <w:rPr>
          <w:vertAlign w:val="superscript"/>
        </w:rPr>
        <w:t>13</w:t>
      </w:r>
      <w:r w:rsidR="00627F11" w:rsidRPr="000F1EA3">
        <w:t>C CP-MAS NMR and ATR-IR</w:t>
      </w:r>
      <w:r w:rsidR="00383382" w:rsidRPr="000F1EA3">
        <w:t>, chemical composition of rape and evening primrose seed and pressed cake based on literature data</w:t>
      </w:r>
      <w:r w:rsidR="00627F11" w:rsidRPr="000F1EA3">
        <w:t xml:space="preserve"> (PDF)</w:t>
      </w:r>
    </w:p>
    <w:p w:rsidR="00DD6DBB" w:rsidRPr="000F1EA3" w:rsidRDefault="00DD6DBB" w:rsidP="00DD6DBB">
      <w:pPr>
        <w:pStyle w:val="FACorrespondingAuthorFootnote"/>
        <w:spacing w:after="0"/>
        <w:jc w:val="left"/>
        <w:rPr>
          <w:b/>
        </w:rPr>
      </w:pPr>
      <w:r w:rsidRPr="000F1EA3">
        <w:rPr>
          <w:b/>
        </w:rPr>
        <w:t>AUTHOR INFORMATION</w:t>
      </w:r>
    </w:p>
    <w:p w:rsidR="00DD6DBB" w:rsidRPr="000F1EA3" w:rsidRDefault="00DD6DBB" w:rsidP="004E7185">
      <w:pPr>
        <w:pStyle w:val="FAAuthorInfoSubtitle"/>
      </w:pPr>
      <w:r w:rsidRPr="000F1EA3">
        <w:t>Corresponding Author</w:t>
      </w:r>
    </w:p>
    <w:p w:rsidR="0065287E" w:rsidRPr="000F1EA3" w:rsidRDefault="0065287E" w:rsidP="0065287E">
      <w:pPr>
        <w:pStyle w:val="FACorrespondingAuthorFootnote"/>
      </w:pPr>
      <w:r w:rsidRPr="000F1EA3">
        <w:t>*Aleksandra Grudniewska, E-mail: aleksandra.grudniewska@upwr.edu.pl</w:t>
      </w:r>
    </w:p>
    <w:p w:rsidR="0065287E" w:rsidRPr="000F1EA3" w:rsidRDefault="0065287E" w:rsidP="0065287E">
      <w:pPr>
        <w:pStyle w:val="FACorrespondingAuthorFootnote"/>
      </w:pPr>
      <w:r w:rsidRPr="000F1EA3">
        <w:lastRenderedPageBreak/>
        <w:t xml:space="preserve">* Avtar S. Matharu, </w:t>
      </w:r>
      <w:r w:rsidRPr="000F1EA3">
        <w:rPr>
          <w:lang w:val="pt-BR"/>
        </w:rPr>
        <w:t>E-mail: avtar.matharu@york.ac.uk</w:t>
      </w:r>
    </w:p>
    <w:p w:rsidR="00DD6DBB" w:rsidRPr="000F1EA3" w:rsidRDefault="00C10EE0" w:rsidP="00DD6DBB">
      <w:pPr>
        <w:pStyle w:val="FAAuthorInfoSubtitle"/>
      </w:pPr>
      <w:r w:rsidRPr="000F1EA3">
        <w:t>Notes</w:t>
      </w:r>
    </w:p>
    <w:p w:rsidR="00C40730" w:rsidRPr="000F1EA3" w:rsidRDefault="00C40730" w:rsidP="00A7152B">
      <w:pPr>
        <w:pStyle w:val="StyleFACorrespondingAuthorFootnote7pt"/>
      </w:pPr>
      <w:r w:rsidRPr="000F1EA3">
        <w:t>The authors declare no competing financial interest</w:t>
      </w:r>
      <w:r w:rsidR="00A7152B" w:rsidRPr="000F1EA3">
        <w:t>.</w:t>
      </w:r>
    </w:p>
    <w:p w:rsidR="00503384" w:rsidRPr="000F1EA3" w:rsidRDefault="00503384" w:rsidP="00503384">
      <w:pPr>
        <w:pStyle w:val="BGKeywords"/>
        <w:rPr>
          <w:b/>
        </w:rPr>
      </w:pPr>
      <w:r w:rsidRPr="000F1EA3">
        <w:rPr>
          <w:b/>
        </w:rPr>
        <w:t xml:space="preserve">ORCID </w:t>
      </w:r>
      <w:proofErr w:type="spellStart"/>
      <w:r w:rsidRPr="000F1EA3">
        <w:rPr>
          <w:b/>
        </w:rPr>
        <w:t>iD</w:t>
      </w:r>
      <w:proofErr w:type="spellEnd"/>
      <w:r w:rsidRPr="000F1EA3">
        <w:rPr>
          <w:b/>
        </w:rPr>
        <w:t>:</w:t>
      </w:r>
    </w:p>
    <w:p w:rsidR="00503384" w:rsidRPr="000F1EA3" w:rsidRDefault="00503384" w:rsidP="001D6D5C">
      <w:pPr>
        <w:pStyle w:val="StyleFACorrespondingAuthorFootnote7pt"/>
      </w:pPr>
      <w:r w:rsidRPr="000F1EA3">
        <w:t>Aleksandra Grudniewska</w:t>
      </w:r>
      <w:r w:rsidR="004E1DE0" w:rsidRPr="000F1EA3">
        <w:t>:</w:t>
      </w:r>
      <w:r w:rsidR="001D6D5C" w:rsidRPr="000F1EA3">
        <w:t xml:space="preserve"> 0000-0003-1665-4423</w:t>
      </w:r>
    </w:p>
    <w:p w:rsidR="00503384" w:rsidRPr="000F1EA3" w:rsidRDefault="00503384" w:rsidP="001D6D5C">
      <w:pPr>
        <w:pStyle w:val="StyleFACorrespondingAuthorFootnote7pt"/>
      </w:pPr>
      <w:r w:rsidRPr="000F1EA3">
        <w:t>Eduardo M. de Melo</w:t>
      </w:r>
      <w:r w:rsidR="004E1DE0" w:rsidRPr="000F1EA3">
        <w:t>:</w:t>
      </w:r>
      <w:r w:rsidR="001D6D5C" w:rsidRPr="000F1EA3">
        <w:t xml:space="preserve"> 0000-0003-3258-2730</w:t>
      </w:r>
    </w:p>
    <w:p w:rsidR="00503384" w:rsidRPr="000F1EA3" w:rsidRDefault="00503384" w:rsidP="001D6D5C">
      <w:pPr>
        <w:pStyle w:val="StyleFACorrespondingAuthorFootnote7pt"/>
      </w:pPr>
      <w:r w:rsidRPr="000F1EA3">
        <w:t>Angel Chan</w:t>
      </w:r>
      <w:r w:rsidR="004E1DE0" w:rsidRPr="000F1EA3">
        <w:t>:</w:t>
      </w:r>
      <w:r w:rsidR="001D6D5C" w:rsidRPr="000F1EA3">
        <w:t xml:space="preserve"> 0000-0002-7663-5809</w:t>
      </w:r>
    </w:p>
    <w:p w:rsidR="00503384" w:rsidRPr="000F1EA3" w:rsidRDefault="00503384" w:rsidP="001D6D5C">
      <w:pPr>
        <w:pStyle w:val="StyleFACorrespondingAuthorFootnote7pt"/>
        <w:rPr>
          <w:lang w:val="pl-PL"/>
        </w:rPr>
      </w:pPr>
      <w:r w:rsidRPr="000F1EA3">
        <w:rPr>
          <w:lang w:val="pl-PL"/>
        </w:rPr>
        <w:t>Radosław Gniłka</w:t>
      </w:r>
      <w:r w:rsidR="004E1DE0" w:rsidRPr="000F1EA3">
        <w:rPr>
          <w:lang w:val="pl-PL"/>
        </w:rPr>
        <w:t>:</w:t>
      </w:r>
      <w:r w:rsidR="001D6D5C" w:rsidRPr="000F1EA3">
        <w:rPr>
          <w:lang w:val="pl-PL"/>
        </w:rPr>
        <w:t xml:space="preserve"> 0000-0002-5709-0380</w:t>
      </w:r>
    </w:p>
    <w:p w:rsidR="00503384" w:rsidRPr="000F1EA3" w:rsidRDefault="00503384" w:rsidP="001D6D5C">
      <w:pPr>
        <w:pStyle w:val="StyleFACorrespondingAuthorFootnote7pt"/>
        <w:rPr>
          <w:lang w:val="pl-PL"/>
        </w:rPr>
      </w:pPr>
      <w:r w:rsidRPr="000F1EA3">
        <w:rPr>
          <w:lang w:val="pl-PL"/>
        </w:rPr>
        <w:t>Filip Boratyński</w:t>
      </w:r>
      <w:r w:rsidR="004E1DE0" w:rsidRPr="000F1EA3">
        <w:rPr>
          <w:lang w:val="pl-PL"/>
        </w:rPr>
        <w:t>:</w:t>
      </w:r>
      <w:r w:rsidR="001D6D5C" w:rsidRPr="000F1EA3">
        <w:rPr>
          <w:lang w:val="pl-PL"/>
        </w:rPr>
        <w:t xml:space="preserve"> 0000-0002-3216-9527</w:t>
      </w:r>
    </w:p>
    <w:p w:rsidR="00503384" w:rsidRPr="000F1EA3" w:rsidRDefault="00503384" w:rsidP="001D6D5C">
      <w:pPr>
        <w:pStyle w:val="StyleFACorrespondingAuthorFootnote7pt"/>
        <w:rPr>
          <w:lang w:val="pl-PL"/>
        </w:rPr>
      </w:pPr>
      <w:r w:rsidRPr="000F1EA3">
        <w:rPr>
          <w:lang w:val="pl-PL"/>
        </w:rPr>
        <w:t>Avtar S. Matharu</w:t>
      </w:r>
      <w:r w:rsidR="004E1DE0" w:rsidRPr="000F1EA3">
        <w:rPr>
          <w:lang w:val="pl-PL"/>
        </w:rPr>
        <w:t>:</w:t>
      </w:r>
      <w:r w:rsidR="001D6D5C" w:rsidRPr="000F1EA3">
        <w:rPr>
          <w:lang w:val="pl-PL"/>
        </w:rPr>
        <w:t xml:space="preserve"> 0000-0002-9488-565X</w:t>
      </w:r>
    </w:p>
    <w:p w:rsidR="00DD6DBB" w:rsidRPr="000F1EA3" w:rsidRDefault="00DD6DBB" w:rsidP="000B5610">
      <w:pPr>
        <w:pStyle w:val="TDAcknowledgments"/>
        <w:spacing w:before="0" w:after="0"/>
        <w:ind w:firstLine="0"/>
        <w:jc w:val="left"/>
        <w:rPr>
          <w:b/>
        </w:rPr>
      </w:pPr>
      <w:r w:rsidRPr="000F1EA3">
        <w:rPr>
          <w:b/>
        </w:rPr>
        <w:t>ACKNOWLEDGMENT</w:t>
      </w:r>
    </w:p>
    <w:p w:rsidR="00403EB8" w:rsidRPr="000F1EA3" w:rsidRDefault="00403EB8" w:rsidP="00403EB8">
      <w:pPr>
        <w:pStyle w:val="TDAcknowledgments"/>
      </w:pPr>
      <w:r w:rsidRPr="000F1EA3">
        <w:t xml:space="preserve">We would like to acknowledge Marta </w:t>
      </w:r>
      <w:proofErr w:type="spellStart"/>
      <w:r w:rsidRPr="000F1EA3">
        <w:t>Kuprasz</w:t>
      </w:r>
      <w:proofErr w:type="spellEnd"/>
      <w:r w:rsidRPr="000F1EA3">
        <w:t xml:space="preserve"> and </w:t>
      </w:r>
      <w:proofErr w:type="spellStart"/>
      <w:r w:rsidRPr="000F1EA3">
        <w:t>Dariusz</w:t>
      </w:r>
      <w:proofErr w:type="spellEnd"/>
      <w:r w:rsidRPr="000F1EA3">
        <w:t xml:space="preserve"> </w:t>
      </w:r>
      <w:proofErr w:type="spellStart"/>
      <w:r w:rsidRPr="000F1EA3">
        <w:t>Nowacki</w:t>
      </w:r>
      <w:proofErr w:type="spellEnd"/>
      <w:r w:rsidRPr="000F1EA3">
        <w:t xml:space="preserve">, graduates of the </w:t>
      </w:r>
      <w:proofErr w:type="spellStart"/>
      <w:r w:rsidRPr="000F1EA3">
        <w:t>Wrocław</w:t>
      </w:r>
      <w:proofErr w:type="spellEnd"/>
      <w:r w:rsidRPr="000F1EA3">
        <w:t xml:space="preserve"> University of Environmental and Life Sciences, for their help in obtaining ECPs and RCPs, respectively. ASM would like to acknowledge EPS</w:t>
      </w:r>
      <w:r w:rsidR="009B457C" w:rsidRPr="000F1EA3">
        <w:t>R</w:t>
      </w:r>
      <w:r w:rsidRPr="000F1EA3">
        <w:t xml:space="preserve">C for funding Whole systems understanding of unavoidable food supply chain wastes for </w:t>
      </w:r>
      <w:proofErr w:type="spellStart"/>
      <w:r w:rsidRPr="000F1EA3">
        <w:t>renutrition</w:t>
      </w:r>
      <w:proofErr w:type="spellEnd"/>
      <w:r w:rsidRPr="000F1EA3">
        <w:t>, EP/P008771/1, which has enabled this manuscript and scholarly interaction with co-authors. Eduardo M. de Melo acknowledges CNPQ for their financial support for PhD study in the UK (234010/2014-2).</w:t>
      </w:r>
    </w:p>
    <w:p w:rsidR="00DD6DBB" w:rsidRPr="000F1EA3" w:rsidRDefault="00DD6DBB" w:rsidP="000B5610">
      <w:pPr>
        <w:pStyle w:val="TFReferencesSection"/>
        <w:spacing w:after="0"/>
        <w:ind w:firstLine="0"/>
        <w:rPr>
          <w:b/>
        </w:rPr>
      </w:pPr>
      <w:r w:rsidRPr="000F1EA3">
        <w:rPr>
          <w:b/>
        </w:rPr>
        <w:t>REFERENCES</w:t>
      </w:r>
    </w:p>
    <w:p w:rsidR="00B366F3" w:rsidRPr="000F1EA3" w:rsidRDefault="00CB05AA" w:rsidP="0009066B">
      <w:pPr>
        <w:pStyle w:val="TFReferencesSection"/>
        <w:rPr>
          <w:rFonts w:cs="Times"/>
          <w:noProof/>
          <w:szCs w:val="24"/>
        </w:rPr>
      </w:pPr>
      <w:r w:rsidRPr="000F1EA3">
        <w:lastRenderedPageBreak/>
        <w:fldChar w:fldCharType="begin" w:fldLock="1"/>
      </w:r>
      <w:r w:rsidRPr="000F1EA3">
        <w:instrText xml:space="preserve">ADDIN Mendeley Bibliography CSL_BIBLIOGRAPHY </w:instrText>
      </w:r>
      <w:r w:rsidRPr="000F1EA3">
        <w:fldChar w:fldCharType="separate"/>
      </w:r>
      <w:r w:rsidR="00B366F3" w:rsidRPr="000F1EA3">
        <w:rPr>
          <w:rFonts w:cs="Times"/>
          <w:noProof/>
          <w:szCs w:val="24"/>
        </w:rPr>
        <w:t xml:space="preserve">(1) </w:t>
      </w:r>
      <w:r w:rsidR="00B366F3" w:rsidRPr="000F1EA3">
        <w:rPr>
          <w:rFonts w:cs="Times"/>
          <w:noProof/>
          <w:szCs w:val="24"/>
        </w:rPr>
        <w:tab/>
        <w:t>OECD/FAO. OECD</w:t>
      </w:r>
      <w:r w:rsidR="00B366F3" w:rsidRPr="000F1EA3">
        <w:rPr>
          <w:rFonts w:ascii="MS Mincho" w:hAnsi="MS Mincho" w:cs="MS Mincho"/>
          <w:noProof/>
          <w:szCs w:val="24"/>
        </w:rPr>
        <w:t>‑</w:t>
      </w:r>
      <w:r w:rsidR="00B366F3" w:rsidRPr="000F1EA3">
        <w:rPr>
          <w:rFonts w:cs="Times"/>
          <w:noProof/>
          <w:szCs w:val="24"/>
        </w:rPr>
        <w:t>FAO Agricultural Outlook 2017</w:t>
      </w:r>
      <w:r w:rsidR="00B366F3" w:rsidRPr="000F1EA3">
        <w:rPr>
          <w:rFonts w:ascii="MS Mincho" w:eastAsia="MS Mincho" w:hAnsi="MS Mincho" w:cs="MS Mincho" w:hint="eastAsia"/>
          <w:noProof/>
          <w:szCs w:val="24"/>
        </w:rPr>
        <w:t>‑</w:t>
      </w:r>
      <w:r w:rsidR="00B366F3" w:rsidRPr="000F1EA3">
        <w:rPr>
          <w:rFonts w:cs="Times"/>
          <w:noProof/>
          <w:szCs w:val="24"/>
        </w:rPr>
        <w:t>2026. OECD Publishing, Paris, http://dx.doi.org/10.1787/agr_outlook-2017-en (accessed Jul 9, 2018).</w:t>
      </w:r>
    </w:p>
    <w:p w:rsidR="00B366F3" w:rsidRPr="000F1EA3" w:rsidRDefault="00B366F3" w:rsidP="0009066B">
      <w:pPr>
        <w:pStyle w:val="TFReferencesSection"/>
        <w:rPr>
          <w:rFonts w:cs="Times"/>
          <w:noProof/>
          <w:szCs w:val="24"/>
        </w:rPr>
      </w:pPr>
      <w:r w:rsidRPr="000F1EA3">
        <w:rPr>
          <w:rFonts w:cs="Times"/>
          <w:noProof/>
          <w:szCs w:val="24"/>
        </w:rPr>
        <w:t xml:space="preserve">(2) </w:t>
      </w:r>
      <w:r w:rsidRPr="000F1EA3">
        <w:rPr>
          <w:rFonts w:cs="Times"/>
          <w:noProof/>
          <w:szCs w:val="24"/>
        </w:rPr>
        <w:tab/>
        <w:t>UFOP Report on Global Market Supply 2017/2018 https://www.ufop.de/files/3515/1515/2657/UFOP_Report_on_Global_Market_Supply_2017-2018.pdf (accessed Jul 9, 2018).</w:t>
      </w:r>
    </w:p>
    <w:p w:rsidR="00B366F3" w:rsidRPr="000F1EA3" w:rsidRDefault="00B366F3" w:rsidP="0009066B">
      <w:pPr>
        <w:pStyle w:val="TFReferencesSection"/>
        <w:rPr>
          <w:rFonts w:cs="Times"/>
          <w:noProof/>
          <w:szCs w:val="24"/>
        </w:rPr>
      </w:pPr>
      <w:r w:rsidRPr="000F1EA3">
        <w:rPr>
          <w:rFonts w:cs="Times"/>
          <w:noProof/>
          <w:szCs w:val="24"/>
        </w:rPr>
        <w:t xml:space="preserve">(3) </w:t>
      </w:r>
      <w:r w:rsidRPr="000F1EA3">
        <w:rPr>
          <w:rFonts w:cs="Times"/>
          <w:noProof/>
          <w:szCs w:val="24"/>
        </w:rPr>
        <w:tab/>
        <w:t xml:space="preserve">Pińkowska, H.; Wolak, P.; Oliveros, E. Hydrothermolysis of rapeseed cake in subcritical water. Effect of reaction temperature and holding time on product composition. </w:t>
      </w:r>
      <w:r w:rsidRPr="000F1EA3">
        <w:rPr>
          <w:rFonts w:cs="Times"/>
          <w:i/>
          <w:iCs/>
          <w:noProof/>
          <w:szCs w:val="24"/>
        </w:rPr>
        <w:t>Biomass Bioenergy</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64</w:t>
      </w:r>
      <w:r w:rsidRPr="000F1EA3">
        <w:rPr>
          <w:rFonts w:cs="Times"/>
          <w:noProof/>
          <w:szCs w:val="24"/>
        </w:rPr>
        <w:t>, 50–61.</w:t>
      </w:r>
    </w:p>
    <w:p w:rsidR="00B366F3" w:rsidRPr="000F1EA3" w:rsidRDefault="00B366F3" w:rsidP="0009066B">
      <w:pPr>
        <w:pStyle w:val="TFReferencesSection"/>
        <w:rPr>
          <w:rFonts w:cs="Times"/>
          <w:noProof/>
          <w:szCs w:val="24"/>
        </w:rPr>
      </w:pPr>
      <w:r w:rsidRPr="000F1EA3">
        <w:rPr>
          <w:rFonts w:cs="Times"/>
          <w:noProof/>
          <w:szCs w:val="24"/>
        </w:rPr>
        <w:t xml:space="preserve">(4) </w:t>
      </w:r>
      <w:r w:rsidRPr="000F1EA3">
        <w:rPr>
          <w:rFonts w:cs="Times"/>
          <w:noProof/>
          <w:szCs w:val="24"/>
        </w:rPr>
        <w:tab/>
        <w:t>IEA Bioenergy – Task 42 Biorefining http://www.ieabioenergy.com/wp-content/uploads/2014/09/IEA-Bioenergy-Task42-Biorefining-Brochure-SEP2014_LR.pdf (accessed Jul 9, 2018).</w:t>
      </w:r>
    </w:p>
    <w:p w:rsidR="00B366F3" w:rsidRPr="000F1EA3" w:rsidRDefault="00B366F3" w:rsidP="0009066B">
      <w:pPr>
        <w:pStyle w:val="TFReferencesSection"/>
        <w:rPr>
          <w:rFonts w:cs="Times"/>
          <w:noProof/>
          <w:szCs w:val="24"/>
        </w:rPr>
      </w:pPr>
      <w:r w:rsidRPr="000F1EA3">
        <w:rPr>
          <w:rFonts w:cs="Times"/>
          <w:noProof/>
          <w:szCs w:val="24"/>
        </w:rPr>
        <w:t xml:space="preserve">(5) </w:t>
      </w:r>
      <w:r w:rsidRPr="000F1EA3">
        <w:rPr>
          <w:rFonts w:cs="Times"/>
          <w:noProof/>
          <w:szCs w:val="24"/>
        </w:rPr>
        <w:tab/>
        <w:t xml:space="preserve">Röös, E.; Bajželj, B.; Smith, P.; Patel, M.; Little, D.; Garnett, T. Protein futures for Western Europe: potential land use and climate impacts in 2050. </w:t>
      </w:r>
      <w:r w:rsidRPr="000F1EA3">
        <w:rPr>
          <w:rFonts w:cs="Times"/>
          <w:i/>
          <w:iCs/>
          <w:noProof/>
          <w:szCs w:val="24"/>
        </w:rPr>
        <w:t>Reg. Environ. Chang.</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17</w:t>
      </w:r>
      <w:r w:rsidRPr="000F1EA3">
        <w:rPr>
          <w:rFonts w:cs="Times"/>
          <w:noProof/>
          <w:szCs w:val="24"/>
        </w:rPr>
        <w:t>, 367–377.</w:t>
      </w:r>
    </w:p>
    <w:p w:rsidR="00B366F3" w:rsidRPr="000F1EA3" w:rsidRDefault="00B366F3" w:rsidP="0009066B">
      <w:pPr>
        <w:pStyle w:val="TFReferencesSection"/>
        <w:rPr>
          <w:rFonts w:cs="Times"/>
          <w:noProof/>
          <w:szCs w:val="24"/>
        </w:rPr>
      </w:pPr>
      <w:r w:rsidRPr="000F1EA3">
        <w:rPr>
          <w:rFonts w:cs="Times"/>
          <w:noProof/>
          <w:szCs w:val="24"/>
        </w:rPr>
        <w:t xml:space="preserve">(6) </w:t>
      </w:r>
      <w:r w:rsidRPr="000F1EA3">
        <w:rPr>
          <w:rFonts w:cs="Times"/>
          <w:noProof/>
          <w:szCs w:val="24"/>
        </w:rPr>
        <w:tab/>
        <w:t xml:space="preserve">Wanasundara, J. P. D.; McIntosh, T. C.; Perera, S. P.; Withana-Gamage, T. S.; Mitra, P. Canola/rapeseed protein-functionality and nutrition. </w:t>
      </w:r>
      <w:r w:rsidRPr="000F1EA3">
        <w:rPr>
          <w:rFonts w:cs="Times"/>
          <w:i/>
          <w:iCs/>
          <w:noProof/>
          <w:szCs w:val="24"/>
        </w:rPr>
        <w:t>OCL</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23</w:t>
      </w:r>
      <w:r w:rsidRPr="000F1EA3">
        <w:rPr>
          <w:rFonts w:cs="Times"/>
          <w:noProof/>
          <w:szCs w:val="24"/>
        </w:rPr>
        <w:t>, D407.</w:t>
      </w:r>
    </w:p>
    <w:p w:rsidR="00B366F3" w:rsidRPr="000F1EA3" w:rsidRDefault="00B366F3" w:rsidP="0009066B">
      <w:pPr>
        <w:pStyle w:val="TFReferencesSection"/>
        <w:rPr>
          <w:rFonts w:cs="Times"/>
          <w:noProof/>
          <w:szCs w:val="24"/>
        </w:rPr>
      </w:pPr>
      <w:r w:rsidRPr="000F1EA3">
        <w:rPr>
          <w:rFonts w:cs="Times"/>
          <w:noProof/>
          <w:szCs w:val="24"/>
        </w:rPr>
        <w:t xml:space="preserve">(7) </w:t>
      </w:r>
      <w:r w:rsidRPr="000F1EA3">
        <w:rPr>
          <w:rFonts w:cs="Times"/>
          <w:noProof/>
          <w:szCs w:val="24"/>
        </w:rPr>
        <w:tab/>
        <w:t xml:space="preserve">Aider, M.; Barbana, C. Canola proteins: Composition, extraction, functional properties, bioactivity, applications as a food </w:t>
      </w:r>
      <w:r w:rsidR="0009066B" w:rsidRPr="000F1EA3">
        <w:rPr>
          <w:rFonts w:cs="Times"/>
          <w:noProof/>
          <w:szCs w:val="24"/>
        </w:rPr>
        <w:t>ingredient and allergenicity - a</w:t>
      </w:r>
      <w:r w:rsidRPr="000F1EA3">
        <w:rPr>
          <w:rFonts w:cs="Times"/>
          <w:noProof/>
          <w:szCs w:val="24"/>
        </w:rPr>
        <w:t xml:space="preserve"> practical and critical review. </w:t>
      </w:r>
      <w:r w:rsidRPr="000F1EA3">
        <w:rPr>
          <w:rFonts w:cs="Times"/>
          <w:i/>
          <w:iCs/>
          <w:noProof/>
          <w:szCs w:val="24"/>
        </w:rPr>
        <w:t>Trends Food Sci. Technol.</w:t>
      </w:r>
      <w:r w:rsidRPr="000F1EA3">
        <w:rPr>
          <w:rFonts w:cs="Times"/>
          <w:noProof/>
          <w:szCs w:val="24"/>
        </w:rPr>
        <w:t xml:space="preserve"> </w:t>
      </w:r>
      <w:r w:rsidRPr="000F1EA3">
        <w:rPr>
          <w:rFonts w:cs="Times"/>
          <w:b/>
          <w:bCs/>
          <w:noProof/>
          <w:szCs w:val="24"/>
        </w:rPr>
        <w:t>2011</w:t>
      </w:r>
      <w:r w:rsidRPr="000F1EA3">
        <w:rPr>
          <w:rFonts w:cs="Times"/>
          <w:noProof/>
          <w:szCs w:val="24"/>
        </w:rPr>
        <w:t xml:space="preserve">, </w:t>
      </w:r>
      <w:r w:rsidRPr="000F1EA3">
        <w:rPr>
          <w:rFonts w:cs="Times"/>
          <w:i/>
          <w:iCs/>
          <w:noProof/>
          <w:szCs w:val="24"/>
        </w:rPr>
        <w:t>22</w:t>
      </w:r>
      <w:r w:rsidRPr="000F1EA3">
        <w:rPr>
          <w:rFonts w:cs="Times"/>
          <w:noProof/>
          <w:szCs w:val="24"/>
        </w:rPr>
        <w:t>, 21–39.</w:t>
      </w:r>
    </w:p>
    <w:p w:rsidR="00B366F3" w:rsidRPr="000F1EA3" w:rsidRDefault="00B366F3" w:rsidP="0009066B">
      <w:pPr>
        <w:pStyle w:val="TFReferencesSection"/>
        <w:rPr>
          <w:rFonts w:cs="Times"/>
          <w:noProof/>
          <w:szCs w:val="24"/>
        </w:rPr>
      </w:pPr>
      <w:r w:rsidRPr="000F1EA3">
        <w:rPr>
          <w:rFonts w:cs="Times"/>
          <w:noProof/>
          <w:szCs w:val="24"/>
        </w:rPr>
        <w:t xml:space="preserve">(8) </w:t>
      </w:r>
      <w:r w:rsidRPr="000F1EA3">
        <w:rPr>
          <w:rFonts w:cs="Times"/>
          <w:noProof/>
          <w:szCs w:val="24"/>
        </w:rPr>
        <w:tab/>
        <w:t xml:space="preserve">Jolivet, P.; Boulard, C.; Bellamy, A.; Larré, C.; Barre, M.; Rogniaux, H.; D’Andréa, S.; Chardot, T.; Nesi, N. Protein composition of oil bodies from mature Brassica napus seeds. </w:t>
      </w:r>
      <w:r w:rsidRPr="000F1EA3">
        <w:rPr>
          <w:rFonts w:cs="Times"/>
          <w:i/>
          <w:iCs/>
          <w:noProof/>
          <w:szCs w:val="24"/>
        </w:rPr>
        <w:t>Proteomics</w:t>
      </w:r>
      <w:r w:rsidRPr="000F1EA3">
        <w:rPr>
          <w:rFonts w:cs="Times"/>
          <w:noProof/>
          <w:szCs w:val="24"/>
        </w:rPr>
        <w:t xml:space="preserve"> </w:t>
      </w:r>
      <w:r w:rsidRPr="000F1EA3">
        <w:rPr>
          <w:rFonts w:cs="Times"/>
          <w:b/>
          <w:bCs/>
          <w:noProof/>
          <w:szCs w:val="24"/>
        </w:rPr>
        <w:t>2009</w:t>
      </w:r>
      <w:r w:rsidRPr="000F1EA3">
        <w:rPr>
          <w:rFonts w:cs="Times"/>
          <w:noProof/>
          <w:szCs w:val="24"/>
        </w:rPr>
        <w:t xml:space="preserve">, </w:t>
      </w:r>
      <w:r w:rsidRPr="000F1EA3">
        <w:rPr>
          <w:rFonts w:cs="Times"/>
          <w:i/>
          <w:iCs/>
          <w:noProof/>
          <w:szCs w:val="24"/>
        </w:rPr>
        <w:t>9</w:t>
      </w:r>
      <w:r w:rsidRPr="000F1EA3">
        <w:rPr>
          <w:rFonts w:cs="Times"/>
          <w:noProof/>
          <w:szCs w:val="24"/>
        </w:rPr>
        <w:t>, 3268–3284.</w:t>
      </w:r>
    </w:p>
    <w:p w:rsidR="00B366F3" w:rsidRPr="000F1EA3" w:rsidRDefault="00B366F3" w:rsidP="0009066B">
      <w:pPr>
        <w:pStyle w:val="TFReferencesSection"/>
        <w:rPr>
          <w:rFonts w:cs="Times"/>
          <w:noProof/>
          <w:szCs w:val="24"/>
        </w:rPr>
      </w:pPr>
      <w:r w:rsidRPr="000F1EA3">
        <w:rPr>
          <w:rFonts w:cs="Times"/>
          <w:noProof/>
          <w:szCs w:val="24"/>
        </w:rPr>
        <w:lastRenderedPageBreak/>
        <w:t xml:space="preserve">(9) </w:t>
      </w:r>
      <w:r w:rsidRPr="000F1EA3">
        <w:rPr>
          <w:rFonts w:cs="Times"/>
          <w:noProof/>
          <w:szCs w:val="24"/>
        </w:rPr>
        <w:tab/>
        <w:t xml:space="preserve">Khattab, R.; Goldberg, E.; Lin, L.; Thiyam, U. Quantitative analysis and free-radical-scavenging activity of chlorophyll, phytic acid, and condensed tannins in canola. </w:t>
      </w:r>
      <w:r w:rsidRPr="000F1EA3">
        <w:rPr>
          <w:rFonts w:cs="Times"/>
          <w:i/>
          <w:iCs/>
          <w:noProof/>
          <w:szCs w:val="24"/>
        </w:rPr>
        <w:t>Food Chem.</w:t>
      </w:r>
      <w:r w:rsidRPr="000F1EA3">
        <w:rPr>
          <w:rFonts w:cs="Times"/>
          <w:noProof/>
          <w:szCs w:val="24"/>
        </w:rPr>
        <w:t xml:space="preserve"> </w:t>
      </w:r>
      <w:r w:rsidRPr="000F1EA3">
        <w:rPr>
          <w:rFonts w:cs="Times"/>
          <w:b/>
          <w:bCs/>
          <w:noProof/>
          <w:szCs w:val="24"/>
        </w:rPr>
        <w:t>2010</w:t>
      </w:r>
      <w:r w:rsidRPr="000F1EA3">
        <w:rPr>
          <w:rFonts w:cs="Times"/>
          <w:noProof/>
          <w:szCs w:val="24"/>
        </w:rPr>
        <w:t xml:space="preserve">, </w:t>
      </w:r>
      <w:r w:rsidRPr="000F1EA3">
        <w:rPr>
          <w:rFonts w:cs="Times"/>
          <w:i/>
          <w:iCs/>
          <w:noProof/>
          <w:szCs w:val="24"/>
        </w:rPr>
        <w:t>122</w:t>
      </w:r>
      <w:r w:rsidRPr="000F1EA3">
        <w:rPr>
          <w:rFonts w:cs="Times"/>
          <w:noProof/>
          <w:szCs w:val="24"/>
        </w:rPr>
        <w:t>, 1266–1272.</w:t>
      </w:r>
    </w:p>
    <w:p w:rsidR="00B366F3" w:rsidRPr="000F1EA3" w:rsidRDefault="00B366F3" w:rsidP="0009066B">
      <w:pPr>
        <w:pStyle w:val="TFReferencesSection"/>
        <w:rPr>
          <w:rFonts w:cs="Times"/>
          <w:noProof/>
          <w:szCs w:val="24"/>
        </w:rPr>
      </w:pPr>
      <w:r w:rsidRPr="000F1EA3">
        <w:rPr>
          <w:rFonts w:cs="Times"/>
          <w:noProof/>
          <w:szCs w:val="24"/>
        </w:rPr>
        <w:t xml:space="preserve">(10) </w:t>
      </w:r>
      <w:r w:rsidRPr="000F1EA3">
        <w:rPr>
          <w:rFonts w:cs="Times"/>
          <w:noProof/>
          <w:szCs w:val="24"/>
        </w:rPr>
        <w:tab/>
        <w:t xml:space="preserve">Wanasundara, J. P. D. Proteins of brassicaceae oilseeds and their potential as a plant protein source. </w:t>
      </w:r>
      <w:r w:rsidRPr="000F1EA3">
        <w:rPr>
          <w:rFonts w:cs="Times"/>
          <w:i/>
          <w:iCs/>
          <w:noProof/>
          <w:szCs w:val="24"/>
        </w:rPr>
        <w:t>Crit. Rev. Food Sci. Nutr.</w:t>
      </w:r>
      <w:r w:rsidRPr="000F1EA3">
        <w:rPr>
          <w:rFonts w:cs="Times"/>
          <w:noProof/>
          <w:szCs w:val="24"/>
        </w:rPr>
        <w:t xml:space="preserve"> </w:t>
      </w:r>
      <w:r w:rsidRPr="000F1EA3">
        <w:rPr>
          <w:rFonts w:cs="Times"/>
          <w:b/>
          <w:bCs/>
          <w:noProof/>
          <w:szCs w:val="24"/>
        </w:rPr>
        <w:t>2011</w:t>
      </w:r>
      <w:r w:rsidRPr="000F1EA3">
        <w:rPr>
          <w:rFonts w:cs="Times"/>
          <w:noProof/>
          <w:szCs w:val="24"/>
        </w:rPr>
        <w:t xml:space="preserve">, </w:t>
      </w:r>
      <w:r w:rsidRPr="000F1EA3">
        <w:rPr>
          <w:rFonts w:cs="Times"/>
          <w:i/>
          <w:iCs/>
          <w:noProof/>
          <w:szCs w:val="24"/>
        </w:rPr>
        <w:t>51</w:t>
      </w:r>
      <w:r w:rsidRPr="000F1EA3">
        <w:rPr>
          <w:rFonts w:cs="Times"/>
          <w:noProof/>
          <w:szCs w:val="24"/>
        </w:rPr>
        <w:t>, 635–677.</w:t>
      </w:r>
    </w:p>
    <w:p w:rsidR="00B366F3" w:rsidRPr="000F1EA3" w:rsidRDefault="00B366F3" w:rsidP="0009066B">
      <w:pPr>
        <w:pStyle w:val="TFReferencesSection"/>
        <w:rPr>
          <w:rFonts w:cs="Times"/>
          <w:noProof/>
          <w:szCs w:val="24"/>
        </w:rPr>
      </w:pPr>
      <w:r w:rsidRPr="000F1EA3">
        <w:rPr>
          <w:rFonts w:cs="Times"/>
          <w:noProof/>
          <w:szCs w:val="24"/>
        </w:rPr>
        <w:t xml:space="preserve">(11) </w:t>
      </w:r>
      <w:r w:rsidRPr="000F1EA3">
        <w:rPr>
          <w:rFonts w:cs="Times"/>
          <w:noProof/>
          <w:szCs w:val="24"/>
        </w:rPr>
        <w:tab/>
        <w:t xml:space="preserve">Yang, R.; Zhang, L.; Li, P.; Yu, L.; Mao, J.; Wang, X. A review of chemical composition and nutritional properties of minor vegetable oils in China. </w:t>
      </w:r>
      <w:r w:rsidRPr="000F1EA3">
        <w:rPr>
          <w:rFonts w:cs="Times"/>
          <w:i/>
          <w:iCs/>
          <w:noProof/>
          <w:szCs w:val="24"/>
        </w:rPr>
        <w:t>Trends Food Sci. Technol.</w:t>
      </w:r>
      <w:r w:rsidRPr="000F1EA3">
        <w:rPr>
          <w:rFonts w:cs="Times"/>
          <w:noProof/>
          <w:szCs w:val="24"/>
        </w:rPr>
        <w:t xml:space="preserve"> </w:t>
      </w:r>
      <w:r w:rsidRPr="000F1EA3">
        <w:rPr>
          <w:rFonts w:cs="Times"/>
          <w:b/>
          <w:bCs/>
          <w:noProof/>
          <w:szCs w:val="24"/>
        </w:rPr>
        <w:t>2018</w:t>
      </w:r>
      <w:r w:rsidRPr="000F1EA3">
        <w:rPr>
          <w:rFonts w:cs="Times"/>
          <w:noProof/>
          <w:szCs w:val="24"/>
        </w:rPr>
        <w:t xml:space="preserve">, </w:t>
      </w:r>
      <w:r w:rsidRPr="000F1EA3">
        <w:rPr>
          <w:rFonts w:cs="Times"/>
          <w:i/>
          <w:iCs/>
          <w:noProof/>
          <w:szCs w:val="24"/>
        </w:rPr>
        <w:t>74</w:t>
      </w:r>
      <w:r w:rsidRPr="000F1EA3">
        <w:rPr>
          <w:rFonts w:cs="Times"/>
          <w:noProof/>
          <w:szCs w:val="24"/>
        </w:rPr>
        <w:t>, 26–32.</w:t>
      </w:r>
    </w:p>
    <w:p w:rsidR="00B366F3" w:rsidRPr="000F1EA3" w:rsidRDefault="00B366F3" w:rsidP="0009066B">
      <w:pPr>
        <w:pStyle w:val="TFReferencesSection"/>
        <w:rPr>
          <w:rFonts w:cs="Times"/>
          <w:noProof/>
          <w:szCs w:val="24"/>
        </w:rPr>
      </w:pPr>
      <w:r w:rsidRPr="000F1EA3">
        <w:rPr>
          <w:rFonts w:cs="Times"/>
          <w:noProof/>
          <w:szCs w:val="24"/>
        </w:rPr>
        <w:t xml:space="preserve">(12) </w:t>
      </w:r>
      <w:r w:rsidRPr="000F1EA3">
        <w:rPr>
          <w:rFonts w:cs="Times"/>
          <w:noProof/>
          <w:szCs w:val="24"/>
        </w:rPr>
        <w:tab/>
        <w:t xml:space="preserve">Montserrat-De La Paz, S.; Fernández-Arche, M. A.; Ángel-Martín, M.; García-Giménez, M. D. Phytochemical characterization of potential nutraceutical ingredients from Evening Primrose oil (Oenothera biennis L.). </w:t>
      </w:r>
      <w:r w:rsidRPr="000F1EA3">
        <w:rPr>
          <w:rFonts w:cs="Times"/>
          <w:i/>
          <w:iCs/>
          <w:noProof/>
          <w:szCs w:val="24"/>
        </w:rPr>
        <w:t>Phytochem. Lett.</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8</w:t>
      </w:r>
      <w:r w:rsidRPr="000F1EA3">
        <w:rPr>
          <w:rFonts w:cs="Times"/>
          <w:noProof/>
          <w:szCs w:val="24"/>
        </w:rPr>
        <w:t>, 158–162.</w:t>
      </w:r>
    </w:p>
    <w:p w:rsidR="00B366F3" w:rsidRPr="000F1EA3" w:rsidRDefault="00B366F3" w:rsidP="0009066B">
      <w:pPr>
        <w:pStyle w:val="TFReferencesSection"/>
        <w:rPr>
          <w:rFonts w:cs="Times"/>
          <w:noProof/>
          <w:szCs w:val="24"/>
        </w:rPr>
      </w:pPr>
      <w:r w:rsidRPr="000F1EA3">
        <w:rPr>
          <w:rFonts w:cs="Times"/>
          <w:noProof/>
          <w:szCs w:val="24"/>
        </w:rPr>
        <w:t xml:space="preserve">(13) </w:t>
      </w:r>
      <w:r w:rsidRPr="000F1EA3">
        <w:rPr>
          <w:rFonts w:cs="Times"/>
          <w:noProof/>
          <w:szCs w:val="24"/>
        </w:rPr>
        <w:tab/>
        <w:t xml:space="preserve">Eskin, N. A. M. Borage and evening primrose oil. </w:t>
      </w:r>
      <w:r w:rsidRPr="000F1EA3">
        <w:rPr>
          <w:rFonts w:cs="Times"/>
          <w:i/>
          <w:iCs/>
          <w:noProof/>
          <w:szCs w:val="24"/>
        </w:rPr>
        <w:t>Eur. J. Lipid Sci. Technol.</w:t>
      </w:r>
      <w:r w:rsidRPr="000F1EA3">
        <w:rPr>
          <w:rFonts w:cs="Times"/>
          <w:noProof/>
          <w:szCs w:val="24"/>
        </w:rPr>
        <w:t xml:space="preserve"> </w:t>
      </w:r>
      <w:r w:rsidRPr="000F1EA3">
        <w:rPr>
          <w:rFonts w:cs="Times"/>
          <w:b/>
          <w:bCs/>
          <w:noProof/>
          <w:szCs w:val="24"/>
        </w:rPr>
        <w:t>2008</w:t>
      </w:r>
      <w:r w:rsidRPr="000F1EA3">
        <w:rPr>
          <w:rFonts w:cs="Times"/>
          <w:noProof/>
          <w:szCs w:val="24"/>
        </w:rPr>
        <w:t xml:space="preserve">, </w:t>
      </w:r>
      <w:r w:rsidRPr="000F1EA3">
        <w:rPr>
          <w:rFonts w:cs="Times"/>
          <w:i/>
          <w:iCs/>
          <w:noProof/>
          <w:szCs w:val="24"/>
        </w:rPr>
        <w:t>110</w:t>
      </w:r>
      <w:r w:rsidRPr="000F1EA3">
        <w:rPr>
          <w:rFonts w:cs="Times"/>
          <w:noProof/>
          <w:szCs w:val="24"/>
        </w:rPr>
        <w:t>, 651–654.</w:t>
      </w:r>
    </w:p>
    <w:p w:rsidR="00B366F3" w:rsidRPr="000F1EA3" w:rsidRDefault="00B366F3" w:rsidP="0009066B">
      <w:pPr>
        <w:pStyle w:val="TFReferencesSection"/>
        <w:rPr>
          <w:rFonts w:cs="Times"/>
          <w:noProof/>
          <w:szCs w:val="24"/>
        </w:rPr>
      </w:pPr>
      <w:r w:rsidRPr="000F1EA3">
        <w:rPr>
          <w:rFonts w:cs="Times"/>
          <w:noProof/>
          <w:szCs w:val="24"/>
        </w:rPr>
        <w:t xml:space="preserve">(14) </w:t>
      </w:r>
      <w:r w:rsidRPr="000F1EA3">
        <w:rPr>
          <w:rFonts w:cs="Times"/>
          <w:noProof/>
          <w:szCs w:val="24"/>
        </w:rPr>
        <w:tab/>
        <w:t xml:space="preserve">Gołąbczak, J.; Strąkowska, J.; Konstantynowicz, A. Dynamics of evening primrose protein hydrolysis. </w:t>
      </w:r>
      <w:r w:rsidRPr="000F1EA3">
        <w:rPr>
          <w:rFonts w:cs="Times"/>
          <w:i/>
          <w:iCs/>
          <w:noProof/>
          <w:szCs w:val="24"/>
        </w:rPr>
        <w:t>Chem. Pap.</w:t>
      </w:r>
      <w:r w:rsidRPr="000F1EA3">
        <w:rPr>
          <w:rFonts w:cs="Times"/>
          <w:noProof/>
          <w:szCs w:val="24"/>
        </w:rPr>
        <w:t xml:space="preserve"> </w:t>
      </w:r>
      <w:r w:rsidRPr="000F1EA3">
        <w:rPr>
          <w:rFonts w:cs="Times"/>
          <w:b/>
          <w:bCs/>
          <w:noProof/>
          <w:szCs w:val="24"/>
        </w:rPr>
        <w:t>2005</w:t>
      </w:r>
      <w:r w:rsidRPr="000F1EA3">
        <w:rPr>
          <w:rFonts w:cs="Times"/>
          <w:noProof/>
          <w:szCs w:val="24"/>
        </w:rPr>
        <w:t xml:space="preserve">, </w:t>
      </w:r>
      <w:r w:rsidRPr="000F1EA3">
        <w:rPr>
          <w:rFonts w:cs="Times"/>
          <w:i/>
          <w:iCs/>
          <w:noProof/>
          <w:szCs w:val="24"/>
        </w:rPr>
        <w:t>59</w:t>
      </w:r>
      <w:r w:rsidRPr="000F1EA3">
        <w:rPr>
          <w:rFonts w:cs="Times"/>
          <w:noProof/>
          <w:szCs w:val="24"/>
        </w:rPr>
        <w:t>, 409–412.</w:t>
      </w:r>
    </w:p>
    <w:p w:rsidR="00B366F3" w:rsidRPr="000F1EA3" w:rsidRDefault="00B366F3" w:rsidP="0009066B">
      <w:pPr>
        <w:pStyle w:val="TFReferencesSection"/>
        <w:rPr>
          <w:rFonts w:cs="Times"/>
          <w:noProof/>
          <w:szCs w:val="24"/>
        </w:rPr>
      </w:pPr>
      <w:r w:rsidRPr="000F1EA3">
        <w:rPr>
          <w:rFonts w:cs="Times"/>
          <w:noProof/>
          <w:szCs w:val="24"/>
        </w:rPr>
        <w:t xml:space="preserve">(15) </w:t>
      </w:r>
      <w:r w:rsidRPr="000F1EA3">
        <w:rPr>
          <w:rFonts w:cs="Times"/>
          <w:noProof/>
          <w:szCs w:val="24"/>
        </w:rPr>
        <w:tab/>
        <w:t xml:space="preserve">Golabczak, J.; Strakowska, J.; Stan, A. Modification of proteins from evening primrose by transglutaminase. </w:t>
      </w:r>
      <w:r w:rsidRPr="000F1EA3">
        <w:rPr>
          <w:rFonts w:cs="Times"/>
          <w:i/>
          <w:iCs/>
          <w:noProof/>
          <w:szCs w:val="24"/>
        </w:rPr>
        <w:t>Chem. Pap.</w:t>
      </w:r>
      <w:r w:rsidRPr="000F1EA3">
        <w:rPr>
          <w:rFonts w:cs="Times"/>
          <w:noProof/>
          <w:szCs w:val="24"/>
        </w:rPr>
        <w:t xml:space="preserve"> </w:t>
      </w:r>
      <w:r w:rsidRPr="000F1EA3">
        <w:rPr>
          <w:rFonts w:cs="Times"/>
          <w:b/>
          <w:bCs/>
          <w:noProof/>
          <w:szCs w:val="24"/>
        </w:rPr>
        <w:t>2004</w:t>
      </w:r>
      <w:r w:rsidRPr="000F1EA3">
        <w:rPr>
          <w:rFonts w:cs="Times"/>
          <w:noProof/>
          <w:szCs w:val="24"/>
        </w:rPr>
        <w:t xml:space="preserve">, </w:t>
      </w:r>
      <w:r w:rsidRPr="000F1EA3">
        <w:rPr>
          <w:rFonts w:cs="Times"/>
          <w:i/>
          <w:iCs/>
          <w:noProof/>
          <w:szCs w:val="24"/>
        </w:rPr>
        <w:t>58</w:t>
      </w:r>
      <w:r w:rsidRPr="000F1EA3">
        <w:rPr>
          <w:rFonts w:cs="Times"/>
          <w:noProof/>
          <w:szCs w:val="24"/>
        </w:rPr>
        <w:t>, 415–417.</w:t>
      </w:r>
    </w:p>
    <w:p w:rsidR="00B366F3" w:rsidRPr="000F1EA3" w:rsidRDefault="00B366F3" w:rsidP="0009066B">
      <w:pPr>
        <w:pStyle w:val="TFReferencesSection"/>
        <w:rPr>
          <w:rFonts w:cs="Times"/>
          <w:noProof/>
          <w:szCs w:val="24"/>
        </w:rPr>
      </w:pPr>
      <w:r w:rsidRPr="000F1EA3">
        <w:rPr>
          <w:rFonts w:cs="Times"/>
          <w:noProof/>
          <w:szCs w:val="24"/>
        </w:rPr>
        <w:t xml:space="preserve">(16) </w:t>
      </w:r>
      <w:r w:rsidRPr="000F1EA3">
        <w:rPr>
          <w:rFonts w:cs="Times"/>
          <w:noProof/>
          <w:szCs w:val="24"/>
        </w:rPr>
        <w:tab/>
        <w:t xml:space="preserve">Stasiniewicz, T.; Niwińska, B.; Strzetelski, J. A.; Kowalczyk, J.; Maciaszek, K.; Bilik, K. Nutritive value of evening primrose (Oenothera paradoxa) cake for ruminants. </w:t>
      </w:r>
      <w:r w:rsidRPr="000F1EA3">
        <w:rPr>
          <w:rFonts w:cs="Times"/>
          <w:i/>
          <w:iCs/>
          <w:noProof/>
          <w:szCs w:val="24"/>
        </w:rPr>
        <w:t>J. Anim. Feed Sci.</w:t>
      </w:r>
      <w:r w:rsidRPr="000F1EA3">
        <w:rPr>
          <w:rFonts w:cs="Times"/>
          <w:noProof/>
          <w:szCs w:val="24"/>
        </w:rPr>
        <w:t xml:space="preserve"> </w:t>
      </w:r>
      <w:r w:rsidRPr="000F1EA3">
        <w:rPr>
          <w:rFonts w:cs="Times"/>
          <w:b/>
          <w:bCs/>
          <w:noProof/>
          <w:szCs w:val="24"/>
        </w:rPr>
        <w:t>1998</w:t>
      </w:r>
      <w:r w:rsidRPr="000F1EA3">
        <w:rPr>
          <w:rFonts w:cs="Times"/>
          <w:noProof/>
          <w:szCs w:val="24"/>
        </w:rPr>
        <w:t xml:space="preserve">, </w:t>
      </w:r>
      <w:r w:rsidRPr="000F1EA3">
        <w:rPr>
          <w:rFonts w:cs="Times"/>
          <w:i/>
          <w:iCs/>
          <w:noProof/>
          <w:szCs w:val="24"/>
        </w:rPr>
        <w:t>7</w:t>
      </w:r>
      <w:r w:rsidRPr="000F1EA3">
        <w:rPr>
          <w:rFonts w:cs="Times"/>
          <w:noProof/>
          <w:szCs w:val="24"/>
        </w:rPr>
        <w:t>, 187–195.</w:t>
      </w:r>
    </w:p>
    <w:p w:rsidR="00B366F3" w:rsidRPr="000F1EA3" w:rsidRDefault="00B366F3" w:rsidP="0009066B">
      <w:pPr>
        <w:pStyle w:val="TFReferencesSection"/>
        <w:rPr>
          <w:rFonts w:cs="Times"/>
          <w:noProof/>
          <w:szCs w:val="24"/>
        </w:rPr>
      </w:pPr>
      <w:r w:rsidRPr="000F1EA3">
        <w:rPr>
          <w:rFonts w:cs="Times"/>
          <w:noProof/>
          <w:szCs w:val="24"/>
        </w:rPr>
        <w:lastRenderedPageBreak/>
        <w:t xml:space="preserve">(17) </w:t>
      </w:r>
      <w:r w:rsidRPr="000F1EA3">
        <w:rPr>
          <w:rFonts w:cs="Times"/>
          <w:noProof/>
          <w:szCs w:val="24"/>
        </w:rPr>
        <w:tab/>
        <w:t xml:space="preserve">Hanczakowski, P.; Szymczyk, B.; Wolski, T. The nutritive value of the residues remaining after oil extraction from seeds of evening primrose (Oenothera biennis L). </w:t>
      </w:r>
      <w:r w:rsidRPr="000F1EA3">
        <w:rPr>
          <w:rFonts w:cs="Times"/>
          <w:i/>
          <w:iCs/>
          <w:noProof/>
          <w:szCs w:val="24"/>
        </w:rPr>
        <w:t>J. Sci. Food Agric.</w:t>
      </w:r>
      <w:r w:rsidRPr="000F1EA3">
        <w:rPr>
          <w:rFonts w:cs="Times"/>
          <w:noProof/>
          <w:szCs w:val="24"/>
        </w:rPr>
        <w:t xml:space="preserve"> </w:t>
      </w:r>
      <w:r w:rsidRPr="000F1EA3">
        <w:rPr>
          <w:rFonts w:cs="Times"/>
          <w:b/>
          <w:bCs/>
          <w:noProof/>
          <w:szCs w:val="24"/>
        </w:rPr>
        <w:t>1993</w:t>
      </w:r>
      <w:r w:rsidRPr="000F1EA3">
        <w:rPr>
          <w:rFonts w:cs="Times"/>
          <w:noProof/>
          <w:szCs w:val="24"/>
        </w:rPr>
        <w:t xml:space="preserve">, </w:t>
      </w:r>
      <w:r w:rsidRPr="000F1EA3">
        <w:rPr>
          <w:rFonts w:cs="Times"/>
          <w:i/>
          <w:iCs/>
          <w:noProof/>
          <w:szCs w:val="24"/>
        </w:rPr>
        <w:t>63</w:t>
      </w:r>
      <w:r w:rsidRPr="000F1EA3">
        <w:rPr>
          <w:rFonts w:cs="Times"/>
          <w:noProof/>
          <w:szCs w:val="24"/>
        </w:rPr>
        <w:t>, 375–376.</w:t>
      </w:r>
    </w:p>
    <w:p w:rsidR="00B366F3" w:rsidRPr="000F1EA3" w:rsidRDefault="00B366F3" w:rsidP="0009066B">
      <w:pPr>
        <w:pStyle w:val="TFReferencesSection"/>
        <w:rPr>
          <w:rFonts w:cs="Times"/>
          <w:noProof/>
          <w:szCs w:val="24"/>
        </w:rPr>
      </w:pPr>
      <w:r w:rsidRPr="000F1EA3">
        <w:rPr>
          <w:rFonts w:cs="Times"/>
          <w:noProof/>
          <w:szCs w:val="24"/>
        </w:rPr>
        <w:t xml:space="preserve">(18) </w:t>
      </w:r>
      <w:r w:rsidRPr="000F1EA3">
        <w:rPr>
          <w:rFonts w:cs="Times"/>
          <w:noProof/>
          <w:szCs w:val="24"/>
        </w:rPr>
        <w:tab/>
        <w:t xml:space="preserve">Hudson, B. J. F. Evening primrose (Oenothera spp.) oil and seed. </w:t>
      </w:r>
      <w:r w:rsidRPr="000F1EA3">
        <w:rPr>
          <w:rFonts w:cs="Times"/>
          <w:i/>
          <w:iCs/>
          <w:noProof/>
          <w:szCs w:val="24"/>
        </w:rPr>
        <w:t>J. Am. Oil Chem. Soc.</w:t>
      </w:r>
      <w:r w:rsidRPr="000F1EA3">
        <w:rPr>
          <w:rFonts w:cs="Times"/>
          <w:noProof/>
          <w:szCs w:val="24"/>
        </w:rPr>
        <w:t xml:space="preserve"> </w:t>
      </w:r>
      <w:r w:rsidRPr="000F1EA3">
        <w:rPr>
          <w:rFonts w:cs="Times"/>
          <w:b/>
          <w:bCs/>
          <w:noProof/>
          <w:szCs w:val="24"/>
        </w:rPr>
        <w:t>1984</w:t>
      </w:r>
      <w:r w:rsidRPr="000F1EA3">
        <w:rPr>
          <w:rFonts w:cs="Times"/>
          <w:noProof/>
          <w:szCs w:val="24"/>
        </w:rPr>
        <w:t xml:space="preserve">, </w:t>
      </w:r>
      <w:r w:rsidRPr="000F1EA3">
        <w:rPr>
          <w:rFonts w:cs="Times"/>
          <w:i/>
          <w:iCs/>
          <w:noProof/>
          <w:szCs w:val="24"/>
        </w:rPr>
        <w:t>61</w:t>
      </w:r>
      <w:r w:rsidRPr="000F1EA3">
        <w:rPr>
          <w:rFonts w:cs="Times"/>
          <w:noProof/>
          <w:szCs w:val="24"/>
        </w:rPr>
        <w:t>, 540–543.</w:t>
      </w:r>
    </w:p>
    <w:p w:rsidR="00B366F3" w:rsidRPr="000F1EA3" w:rsidRDefault="00B366F3" w:rsidP="0009066B">
      <w:pPr>
        <w:pStyle w:val="TFReferencesSection"/>
        <w:rPr>
          <w:rFonts w:cs="Times"/>
          <w:noProof/>
          <w:szCs w:val="24"/>
        </w:rPr>
      </w:pPr>
      <w:r w:rsidRPr="000F1EA3">
        <w:rPr>
          <w:rFonts w:cs="Times"/>
          <w:noProof/>
          <w:szCs w:val="24"/>
        </w:rPr>
        <w:t xml:space="preserve">(19) </w:t>
      </w:r>
      <w:r w:rsidRPr="000F1EA3">
        <w:rPr>
          <w:rFonts w:cs="Times"/>
          <w:noProof/>
          <w:szCs w:val="24"/>
        </w:rPr>
        <w:tab/>
        <w:t xml:space="preserve">Nam, M. W.; Zhao, J.; Lee, M. S.; Jeong, J. H.; Lee, J. Enhanced extraction of bioactive natural products using tailor-made deep eutectic solvents: application to flavonoid extraction from Flos sophorae. </w:t>
      </w:r>
      <w:r w:rsidRPr="000F1EA3">
        <w:rPr>
          <w:rFonts w:cs="Times"/>
          <w:i/>
          <w:iCs/>
          <w:noProof/>
          <w:szCs w:val="24"/>
        </w:rPr>
        <w:t>Green Chem.</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17</w:t>
      </w:r>
      <w:r w:rsidRPr="000F1EA3">
        <w:rPr>
          <w:rFonts w:cs="Times"/>
          <w:noProof/>
          <w:szCs w:val="24"/>
        </w:rPr>
        <w:t>, 1718–1727.</w:t>
      </w:r>
    </w:p>
    <w:p w:rsidR="00B366F3" w:rsidRPr="000F1EA3" w:rsidRDefault="00B366F3" w:rsidP="0009066B">
      <w:pPr>
        <w:pStyle w:val="TFReferencesSection"/>
        <w:rPr>
          <w:rFonts w:cs="Times"/>
          <w:noProof/>
          <w:szCs w:val="24"/>
        </w:rPr>
      </w:pPr>
      <w:r w:rsidRPr="000F1EA3">
        <w:rPr>
          <w:rFonts w:cs="Times"/>
          <w:noProof/>
          <w:szCs w:val="24"/>
        </w:rPr>
        <w:t xml:space="preserve">(20) </w:t>
      </w:r>
      <w:r w:rsidRPr="000F1EA3">
        <w:rPr>
          <w:rFonts w:cs="Times"/>
          <w:noProof/>
          <w:szCs w:val="24"/>
        </w:rPr>
        <w:tab/>
        <w:t xml:space="preserve">Zhuang, B.; Dou, L. L.; Li, P.; Liu, E. H. Deep eutectic solvents as green media for extraction of flavonoid glycosides and aglycones from Platycladi Cacumen. </w:t>
      </w:r>
      <w:r w:rsidRPr="000F1EA3">
        <w:rPr>
          <w:rFonts w:cs="Times"/>
          <w:i/>
          <w:iCs/>
          <w:noProof/>
          <w:szCs w:val="24"/>
        </w:rPr>
        <w:t>J. Pharm. Biomed. Anal.</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134</w:t>
      </w:r>
      <w:r w:rsidRPr="000F1EA3">
        <w:rPr>
          <w:rFonts w:cs="Times"/>
          <w:noProof/>
          <w:szCs w:val="24"/>
        </w:rPr>
        <w:t>, 214–219.</w:t>
      </w:r>
    </w:p>
    <w:p w:rsidR="00B366F3" w:rsidRPr="000F1EA3" w:rsidRDefault="00B366F3" w:rsidP="0009066B">
      <w:pPr>
        <w:pStyle w:val="TFReferencesSection"/>
        <w:rPr>
          <w:rFonts w:cs="Times"/>
          <w:noProof/>
          <w:szCs w:val="24"/>
        </w:rPr>
      </w:pPr>
      <w:r w:rsidRPr="000F1EA3">
        <w:rPr>
          <w:rFonts w:cs="Times"/>
          <w:noProof/>
          <w:szCs w:val="24"/>
        </w:rPr>
        <w:t xml:space="preserve">(21) </w:t>
      </w:r>
      <w:r w:rsidRPr="000F1EA3">
        <w:rPr>
          <w:rFonts w:cs="Times"/>
          <w:noProof/>
          <w:szCs w:val="24"/>
        </w:rPr>
        <w:tab/>
        <w:t xml:space="preserve">Park, H. E.; Tang, B.; Row, K. H. Application of deep eutectic solvents as additives in ultrasonic extraction of two phenolic acids from Herba artemisiae scopariae. </w:t>
      </w:r>
      <w:r w:rsidRPr="000F1EA3">
        <w:rPr>
          <w:rFonts w:cs="Times"/>
          <w:i/>
          <w:iCs/>
          <w:noProof/>
          <w:szCs w:val="24"/>
        </w:rPr>
        <w:t>Anal. Lett.</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47</w:t>
      </w:r>
      <w:r w:rsidRPr="000F1EA3">
        <w:rPr>
          <w:rFonts w:cs="Times"/>
          <w:noProof/>
          <w:szCs w:val="24"/>
        </w:rPr>
        <w:t>, 1476–1484.</w:t>
      </w:r>
    </w:p>
    <w:p w:rsidR="00B366F3" w:rsidRPr="000F1EA3" w:rsidRDefault="00B366F3" w:rsidP="0009066B">
      <w:pPr>
        <w:pStyle w:val="TFReferencesSection"/>
        <w:rPr>
          <w:rFonts w:cs="Times"/>
          <w:noProof/>
          <w:szCs w:val="24"/>
        </w:rPr>
      </w:pPr>
      <w:r w:rsidRPr="000F1EA3">
        <w:rPr>
          <w:rFonts w:cs="Times"/>
          <w:noProof/>
          <w:szCs w:val="24"/>
        </w:rPr>
        <w:t xml:space="preserve">(22) </w:t>
      </w:r>
      <w:r w:rsidRPr="000F1EA3">
        <w:rPr>
          <w:rFonts w:cs="Times"/>
          <w:noProof/>
          <w:szCs w:val="24"/>
        </w:rPr>
        <w:tab/>
        <w:t xml:space="preserve">Peng, X.; Duan, M. H.; Yao, X. H.; Zhang, Y. H.; Zhao, C. J.; Zu, Y. G.; Fu, Y. J. Green extraction of five target phenolic acids from Lonicerae japonicae Flos with deep eutectic solvent. </w:t>
      </w:r>
      <w:r w:rsidRPr="000F1EA3">
        <w:rPr>
          <w:rFonts w:cs="Times"/>
          <w:i/>
          <w:iCs/>
          <w:noProof/>
          <w:szCs w:val="24"/>
        </w:rPr>
        <w:t>Sep. Purif. Technol.</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157</w:t>
      </w:r>
      <w:r w:rsidRPr="000F1EA3">
        <w:rPr>
          <w:rFonts w:cs="Times"/>
          <w:noProof/>
          <w:szCs w:val="24"/>
        </w:rPr>
        <w:t>, 249–257.</w:t>
      </w:r>
    </w:p>
    <w:p w:rsidR="00B366F3" w:rsidRPr="000F1EA3" w:rsidRDefault="00B366F3" w:rsidP="0009066B">
      <w:pPr>
        <w:pStyle w:val="TFReferencesSection"/>
        <w:rPr>
          <w:rFonts w:cs="Times"/>
          <w:noProof/>
          <w:szCs w:val="24"/>
        </w:rPr>
      </w:pPr>
      <w:r w:rsidRPr="000F1EA3">
        <w:rPr>
          <w:rFonts w:cs="Times"/>
          <w:noProof/>
          <w:szCs w:val="24"/>
        </w:rPr>
        <w:t xml:space="preserve">(23) </w:t>
      </w:r>
      <w:r w:rsidRPr="000F1EA3">
        <w:rPr>
          <w:rFonts w:cs="Times"/>
          <w:noProof/>
          <w:szCs w:val="24"/>
        </w:rPr>
        <w:tab/>
        <w:t xml:space="preserve">Khezeli, T.; Daneshfar, A.; Sahraei, R. A green ultrasonic-assisted liquid–liquid microextraction based on deep eutectic solvent for the HPLC-UV determination of ferulic, caffeic and cinnamic acid from olive, almond, sesame and cinnamon oil. </w:t>
      </w:r>
      <w:r w:rsidRPr="000F1EA3">
        <w:rPr>
          <w:rFonts w:cs="Times"/>
          <w:i/>
          <w:iCs/>
          <w:noProof/>
          <w:szCs w:val="24"/>
        </w:rPr>
        <w:t>Talanta</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150</w:t>
      </w:r>
      <w:r w:rsidRPr="000F1EA3">
        <w:rPr>
          <w:rFonts w:cs="Times"/>
          <w:noProof/>
          <w:szCs w:val="24"/>
        </w:rPr>
        <w:t>, 577–585.</w:t>
      </w:r>
    </w:p>
    <w:p w:rsidR="00B366F3" w:rsidRPr="000F1EA3" w:rsidRDefault="00B366F3" w:rsidP="0009066B">
      <w:pPr>
        <w:pStyle w:val="TFReferencesSection"/>
        <w:rPr>
          <w:rFonts w:cs="Times"/>
          <w:noProof/>
          <w:szCs w:val="24"/>
        </w:rPr>
      </w:pPr>
      <w:r w:rsidRPr="000F1EA3">
        <w:rPr>
          <w:rFonts w:cs="Times"/>
          <w:noProof/>
          <w:szCs w:val="24"/>
        </w:rPr>
        <w:lastRenderedPageBreak/>
        <w:t xml:space="preserve">(24) </w:t>
      </w:r>
      <w:r w:rsidRPr="000F1EA3">
        <w:rPr>
          <w:rFonts w:cs="Times"/>
          <w:noProof/>
          <w:szCs w:val="24"/>
        </w:rPr>
        <w:tab/>
        <w:t xml:space="preserve">Abdul Hadi, N.; Ng, M. H.; Choo, Y. M.; Hashim, M. A.; Jayakumar, N. S. Performance of choline-based deep eutectic solvents in the extraction of tocols from crude palm oil. </w:t>
      </w:r>
      <w:r w:rsidRPr="000F1EA3">
        <w:rPr>
          <w:rFonts w:cs="Times"/>
          <w:i/>
          <w:iCs/>
          <w:noProof/>
          <w:szCs w:val="24"/>
        </w:rPr>
        <w:t>J. Am. Oil Chem. Soc.</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92</w:t>
      </w:r>
      <w:r w:rsidRPr="000F1EA3">
        <w:rPr>
          <w:rFonts w:cs="Times"/>
          <w:noProof/>
          <w:szCs w:val="24"/>
        </w:rPr>
        <w:t>, 1709–1716.</w:t>
      </w:r>
    </w:p>
    <w:p w:rsidR="00B366F3" w:rsidRPr="000F1EA3" w:rsidRDefault="00B366F3" w:rsidP="0009066B">
      <w:pPr>
        <w:pStyle w:val="TFReferencesSection"/>
        <w:rPr>
          <w:rFonts w:cs="Times"/>
          <w:noProof/>
          <w:szCs w:val="24"/>
        </w:rPr>
      </w:pPr>
      <w:r w:rsidRPr="000F1EA3">
        <w:rPr>
          <w:rFonts w:cs="Times"/>
          <w:noProof/>
          <w:szCs w:val="24"/>
        </w:rPr>
        <w:t xml:space="preserve">(25) </w:t>
      </w:r>
      <w:r w:rsidRPr="000F1EA3">
        <w:rPr>
          <w:rFonts w:cs="Times"/>
          <w:noProof/>
          <w:szCs w:val="24"/>
        </w:rPr>
        <w:tab/>
        <w:t xml:space="preserve">Duan, L.; Dou, L.-L.; Guo, L.; Li, P.; Liu, E.-H. Comprehensive evaluation of deep eutectic solvents in extraction of bioactive natural products. </w:t>
      </w:r>
      <w:r w:rsidRPr="000F1EA3">
        <w:rPr>
          <w:rFonts w:cs="Times"/>
          <w:i/>
          <w:iCs/>
          <w:noProof/>
          <w:szCs w:val="24"/>
        </w:rPr>
        <w:t>ACS Sustain. Chem. Eng.</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4</w:t>
      </w:r>
      <w:r w:rsidRPr="000F1EA3">
        <w:rPr>
          <w:rFonts w:cs="Times"/>
          <w:noProof/>
          <w:szCs w:val="24"/>
        </w:rPr>
        <w:t>, 2405–2411.</w:t>
      </w:r>
    </w:p>
    <w:p w:rsidR="00B366F3" w:rsidRPr="000F1EA3" w:rsidRDefault="00B366F3" w:rsidP="0009066B">
      <w:pPr>
        <w:pStyle w:val="TFReferencesSection"/>
        <w:rPr>
          <w:rFonts w:cs="Times"/>
          <w:noProof/>
          <w:szCs w:val="24"/>
        </w:rPr>
      </w:pPr>
      <w:r w:rsidRPr="000F1EA3">
        <w:rPr>
          <w:rFonts w:cs="Times"/>
          <w:noProof/>
          <w:szCs w:val="24"/>
        </w:rPr>
        <w:t xml:space="preserve">(26) </w:t>
      </w:r>
      <w:r w:rsidRPr="000F1EA3">
        <w:rPr>
          <w:rFonts w:cs="Times"/>
          <w:noProof/>
          <w:szCs w:val="24"/>
        </w:rPr>
        <w:tab/>
        <w:t xml:space="preserve">Bosiljkov, T.; Dujmi, F. Natural deep eutectic solvents and ultrasound-assisted extraction: </w:t>
      </w:r>
      <w:r w:rsidR="00CE3F58" w:rsidRPr="000F1EA3">
        <w:rPr>
          <w:rFonts w:cs="Times"/>
          <w:noProof/>
          <w:szCs w:val="24"/>
        </w:rPr>
        <w:t>g</w:t>
      </w:r>
      <w:r w:rsidRPr="000F1EA3">
        <w:rPr>
          <w:rFonts w:cs="Times"/>
          <w:noProof/>
          <w:szCs w:val="24"/>
        </w:rPr>
        <w:t xml:space="preserve">reen approaches for extraction of wine lees anthocyanins. </w:t>
      </w:r>
      <w:r w:rsidRPr="000F1EA3">
        <w:rPr>
          <w:rFonts w:cs="Times"/>
          <w:i/>
          <w:iCs/>
          <w:noProof/>
          <w:szCs w:val="24"/>
        </w:rPr>
        <w:t>Food Bioprod. Process.</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102</w:t>
      </w:r>
      <w:r w:rsidRPr="000F1EA3">
        <w:rPr>
          <w:rFonts w:cs="Times"/>
          <w:noProof/>
          <w:szCs w:val="24"/>
        </w:rPr>
        <w:t>, 195–203.</w:t>
      </w:r>
    </w:p>
    <w:p w:rsidR="00B366F3" w:rsidRPr="000F1EA3" w:rsidRDefault="00B366F3" w:rsidP="0009066B">
      <w:pPr>
        <w:pStyle w:val="TFReferencesSection"/>
        <w:rPr>
          <w:rFonts w:cs="Times"/>
          <w:noProof/>
          <w:szCs w:val="24"/>
        </w:rPr>
      </w:pPr>
      <w:r w:rsidRPr="000F1EA3">
        <w:rPr>
          <w:rFonts w:cs="Times"/>
          <w:noProof/>
          <w:szCs w:val="24"/>
        </w:rPr>
        <w:t xml:space="preserve">(27) </w:t>
      </w:r>
      <w:r w:rsidRPr="000F1EA3">
        <w:rPr>
          <w:rFonts w:cs="Times"/>
          <w:noProof/>
          <w:szCs w:val="24"/>
        </w:rPr>
        <w:tab/>
        <w:t xml:space="preserve">Zainal-Abidin, M. H.; Hayyan, M.; Hayyan, A.; Jayakumar, N. S. New horizons in the extraction of bioactive compounds using deep eutectic solvents: </w:t>
      </w:r>
      <w:r w:rsidR="00CE3F58" w:rsidRPr="000F1EA3">
        <w:rPr>
          <w:rFonts w:cs="Times"/>
          <w:noProof/>
          <w:szCs w:val="24"/>
        </w:rPr>
        <w:t>a</w:t>
      </w:r>
      <w:r w:rsidRPr="000F1EA3">
        <w:rPr>
          <w:rFonts w:cs="Times"/>
          <w:noProof/>
          <w:szCs w:val="24"/>
        </w:rPr>
        <w:t xml:space="preserve"> review. </w:t>
      </w:r>
      <w:r w:rsidRPr="000F1EA3">
        <w:rPr>
          <w:rFonts w:cs="Times"/>
          <w:i/>
          <w:iCs/>
          <w:noProof/>
          <w:szCs w:val="24"/>
        </w:rPr>
        <w:t>Anal. Chim. Acta</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979</w:t>
      </w:r>
      <w:r w:rsidRPr="000F1EA3">
        <w:rPr>
          <w:rFonts w:cs="Times"/>
          <w:noProof/>
          <w:szCs w:val="24"/>
        </w:rPr>
        <w:t>, 1–23.</w:t>
      </w:r>
    </w:p>
    <w:p w:rsidR="00B366F3" w:rsidRPr="000F1EA3" w:rsidRDefault="00B366F3" w:rsidP="0009066B">
      <w:pPr>
        <w:pStyle w:val="TFReferencesSection"/>
        <w:rPr>
          <w:rFonts w:cs="Times"/>
          <w:noProof/>
          <w:szCs w:val="24"/>
        </w:rPr>
      </w:pPr>
      <w:r w:rsidRPr="000F1EA3">
        <w:rPr>
          <w:rFonts w:cs="Times"/>
          <w:noProof/>
          <w:szCs w:val="24"/>
        </w:rPr>
        <w:t xml:space="preserve">(28) </w:t>
      </w:r>
      <w:r w:rsidRPr="000F1EA3">
        <w:rPr>
          <w:rFonts w:cs="Times"/>
          <w:noProof/>
          <w:szCs w:val="24"/>
        </w:rPr>
        <w:tab/>
        <w:t xml:space="preserve">Das, A. K.; Sharma, M.; Mondal, D.; Prasad, K. Deep eutectic solvents as efficient solvent system for the extraction of κ-carrageenan from Kappaphycus alvarezii. </w:t>
      </w:r>
      <w:r w:rsidRPr="000F1EA3">
        <w:rPr>
          <w:rFonts w:cs="Times"/>
          <w:i/>
          <w:iCs/>
          <w:noProof/>
          <w:szCs w:val="24"/>
        </w:rPr>
        <w:t>Carbohydr. Polym.</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136</w:t>
      </w:r>
      <w:r w:rsidRPr="000F1EA3">
        <w:rPr>
          <w:rFonts w:cs="Times"/>
          <w:noProof/>
          <w:szCs w:val="24"/>
        </w:rPr>
        <w:t>, 930–935.</w:t>
      </w:r>
    </w:p>
    <w:p w:rsidR="00B366F3" w:rsidRPr="000F1EA3" w:rsidRDefault="00B366F3" w:rsidP="0009066B">
      <w:pPr>
        <w:pStyle w:val="TFReferencesSection"/>
        <w:rPr>
          <w:rFonts w:cs="Times"/>
          <w:noProof/>
          <w:szCs w:val="24"/>
        </w:rPr>
      </w:pPr>
      <w:r w:rsidRPr="000F1EA3">
        <w:rPr>
          <w:rFonts w:cs="Times"/>
          <w:noProof/>
          <w:szCs w:val="24"/>
        </w:rPr>
        <w:t xml:space="preserve">(29) </w:t>
      </w:r>
      <w:r w:rsidRPr="000F1EA3">
        <w:rPr>
          <w:rFonts w:cs="Times"/>
          <w:noProof/>
          <w:szCs w:val="24"/>
        </w:rPr>
        <w:tab/>
        <w:t xml:space="preserve">Zeng, Q.; Wang, Y.; Huang, Y.; Ding, X.; Chen, J.; Xu, K. Deep eutectic solvents as novel extraction media for protein partitioning. </w:t>
      </w:r>
      <w:r w:rsidRPr="000F1EA3">
        <w:rPr>
          <w:rFonts w:cs="Times"/>
          <w:i/>
          <w:iCs/>
          <w:noProof/>
          <w:szCs w:val="24"/>
        </w:rPr>
        <w:t>Analyst</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139</w:t>
      </w:r>
      <w:r w:rsidRPr="000F1EA3">
        <w:rPr>
          <w:rFonts w:cs="Times"/>
          <w:noProof/>
          <w:szCs w:val="24"/>
        </w:rPr>
        <w:t>, 2565–2573.</w:t>
      </w:r>
    </w:p>
    <w:p w:rsidR="00B366F3" w:rsidRPr="000F1EA3" w:rsidRDefault="00B366F3" w:rsidP="0009066B">
      <w:pPr>
        <w:pStyle w:val="TFReferencesSection"/>
        <w:rPr>
          <w:rFonts w:cs="Times"/>
          <w:noProof/>
          <w:szCs w:val="24"/>
        </w:rPr>
      </w:pPr>
      <w:r w:rsidRPr="000F1EA3">
        <w:rPr>
          <w:rFonts w:cs="Times"/>
          <w:noProof/>
          <w:szCs w:val="24"/>
        </w:rPr>
        <w:t xml:space="preserve">(30) </w:t>
      </w:r>
      <w:r w:rsidRPr="000F1EA3">
        <w:rPr>
          <w:rFonts w:cs="Times"/>
          <w:noProof/>
          <w:szCs w:val="24"/>
        </w:rPr>
        <w:tab/>
        <w:t xml:space="preserve">Xu, K.; Wang, Y.; Huang, Y.; Li, N.; Wen, Q. A green deep eutectic solvent-based aqueous two-phase system for protein extracting. </w:t>
      </w:r>
      <w:r w:rsidRPr="000F1EA3">
        <w:rPr>
          <w:rFonts w:cs="Times"/>
          <w:i/>
          <w:iCs/>
          <w:noProof/>
          <w:szCs w:val="24"/>
        </w:rPr>
        <w:t>Anal. Chim. Acta</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864</w:t>
      </w:r>
      <w:r w:rsidRPr="000F1EA3">
        <w:rPr>
          <w:rFonts w:cs="Times"/>
          <w:noProof/>
          <w:szCs w:val="24"/>
        </w:rPr>
        <w:t>, 9–20.</w:t>
      </w:r>
    </w:p>
    <w:p w:rsidR="00B366F3" w:rsidRPr="000F1EA3" w:rsidRDefault="00B366F3" w:rsidP="0009066B">
      <w:pPr>
        <w:pStyle w:val="TFReferencesSection"/>
        <w:rPr>
          <w:rFonts w:cs="Times"/>
          <w:noProof/>
          <w:szCs w:val="24"/>
        </w:rPr>
      </w:pPr>
      <w:r w:rsidRPr="000F1EA3">
        <w:rPr>
          <w:rFonts w:cs="Times"/>
          <w:noProof/>
          <w:szCs w:val="24"/>
        </w:rPr>
        <w:t xml:space="preserve">(31) </w:t>
      </w:r>
      <w:r w:rsidRPr="000F1EA3">
        <w:rPr>
          <w:rFonts w:cs="Times"/>
          <w:noProof/>
          <w:szCs w:val="24"/>
        </w:rPr>
        <w:tab/>
        <w:t xml:space="preserve">Zhang, H.; Wang, Y.; Xu, K.; Li, N.; Wen, Q.; Yang, Q.; Zhou, Y. Ternary and binary deep eutectic solvents as a novel extraction medium for protein partitioning. </w:t>
      </w:r>
      <w:r w:rsidRPr="000F1EA3">
        <w:rPr>
          <w:rFonts w:cs="Times"/>
          <w:i/>
          <w:iCs/>
          <w:noProof/>
          <w:szCs w:val="24"/>
        </w:rPr>
        <w:t>Anal. Methods</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8</w:t>
      </w:r>
      <w:r w:rsidRPr="000F1EA3">
        <w:rPr>
          <w:rFonts w:cs="Times"/>
          <w:noProof/>
          <w:szCs w:val="24"/>
        </w:rPr>
        <w:t>, 8196–8207.</w:t>
      </w:r>
    </w:p>
    <w:p w:rsidR="00B366F3" w:rsidRPr="000F1EA3" w:rsidRDefault="00B366F3" w:rsidP="0009066B">
      <w:pPr>
        <w:pStyle w:val="TFReferencesSection"/>
        <w:rPr>
          <w:rFonts w:cs="Times"/>
          <w:noProof/>
          <w:szCs w:val="24"/>
        </w:rPr>
      </w:pPr>
      <w:r w:rsidRPr="000F1EA3">
        <w:rPr>
          <w:rFonts w:cs="Times"/>
          <w:noProof/>
          <w:szCs w:val="24"/>
        </w:rPr>
        <w:lastRenderedPageBreak/>
        <w:t xml:space="preserve">(32) </w:t>
      </w:r>
      <w:r w:rsidRPr="000F1EA3">
        <w:rPr>
          <w:rFonts w:cs="Times"/>
          <w:noProof/>
          <w:szCs w:val="24"/>
        </w:rPr>
        <w:tab/>
        <w:t xml:space="preserve">Li, N.; Wang, Y.; Xu, K.; Huang, Y.; Wen, Q.; Ding, X. Development of green betaine-based deep eutectic solvent aqueous two-phase system for the extraction of protein. </w:t>
      </w:r>
      <w:r w:rsidRPr="000F1EA3">
        <w:rPr>
          <w:rFonts w:cs="Times"/>
          <w:i/>
          <w:iCs/>
          <w:noProof/>
          <w:szCs w:val="24"/>
        </w:rPr>
        <w:t>Talanta</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152</w:t>
      </w:r>
      <w:r w:rsidRPr="000F1EA3">
        <w:rPr>
          <w:rFonts w:cs="Times"/>
          <w:noProof/>
          <w:szCs w:val="24"/>
        </w:rPr>
        <w:t>, 23–32.</w:t>
      </w:r>
    </w:p>
    <w:p w:rsidR="00B366F3" w:rsidRPr="000F1EA3" w:rsidRDefault="00B366F3" w:rsidP="0009066B">
      <w:pPr>
        <w:pStyle w:val="TFReferencesSection"/>
        <w:rPr>
          <w:rFonts w:cs="Times"/>
          <w:noProof/>
          <w:szCs w:val="24"/>
        </w:rPr>
      </w:pPr>
      <w:r w:rsidRPr="000F1EA3">
        <w:rPr>
          <w:rFonts w:cs="Times"/>
          <w:noProof/>
          <w:szCs w:val="24"/>
        </w:rPr>
        <w:t xml:space="preserve">(33) </w:t>
      </w:r>
      <w:r w:rsidRPr="000F1EA3">
        <w:rPr>
          <w:rFonts w:cs="Times"/>
          <w:noProof/>
          <w:szCs w:val="24"/>
        </w:rPr>
        <w:tab/>
        <w:t xml:space="preserve">Bai, C.; Wei, Q.; Ren, X. Selective extraction of collagen peptides with high purity from cod skins by deep eutectic solvents. </w:t>
      </w:r>
      <w:r w:rsidRPr="000F1EA3">
        <w:rPr>
          <w:rFonts w:cs="Times"/>
          <w:i/>
          <w:iCs/>
          <w:noProof/>
          <w:szCs w:val="24"/>
        </w:rPr>
        <w:t>ACS Sustain. Chem. Eng.</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5</w:t>
      </w:r>
      <w:r w:rsidRPr="000F1EA3">
        <w:rPr>
          <w:rFonts w:cs="Times"/>
          <w:noProof/>
          <w:szCs w:val="24"/>
        </w:rPr>
        <w:t>, 7220–7227.</w:t>
      </w:r>
    </w:p>
    <w:p w:rsidR="00B366F3" w:rsidRPr="000F1EA3" w:rsidRDefault="00B366F3" w:rsidP="0009066B">
      <w:pPr>
        <w:pStyle w:val="TFReferencesSection"/>
        <w:rPr>
          <w:rFonts w:cs="Times"/>
          <w:noProof/>
          <w:szCs w:val="24"/>
        </w:rPr>
      </w:pPr>
      <w:r w:rsidRPr="000F1EA3">
        <w:rPr>
          <w:rFonts w:cs="Times"/>
          <w:noProof/>
          <w:szCs w:val="24"/>
        </w:rPr>
        <w:t xml:space="preserve">(34) </w:t>
      </w:r>
      <w:r w:rsidRPr="000F1EA3">
        <w:rPr>
          <w:rFonts w:cs="Times"/>
          <w:noProof/>
          <w:szCs w:val="24"/>
        </w:rPr>
        <w:tab/>
        <w:t xml:space="preserve">Moore, K. E.; Mangos, D. N.; Slattery, A. D.; Raston, C. L.; Boulos, R. A. Wool deconstruction using a benign eutectic melt. </w:t>
      </w:r>
      <w:r w:rsidRPr="000F1EA3">
        <w:rPr>
          <w:rFonts w:cs="Times"/>
          <w:i/>
          <w:iCs/>
          <w:noProof/>
          <w:szCs w:val="24"/>
        </w:rPr>
        <w:t>RSC Adv.</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6</w:t>
      </w:r>
      <w:r w:rsidRPr="000F1EA3">
        <w:rPr>
          <w:rFonts w:cs="Times"/>
          <w:noProof/>
          <w:szCs w:val="24"/>
        </w:rPr>
        <w:t>, 20095–20101.</w:t>
      </w:r>
    </w:p>
    <w:p w:rsidR="00B366F3" w:rsidRPr="000F1EA3" w:rsidRDefault="00B366F3" w:rsidP="0009066B">
      <w:pPr>
        <w:pStyle w:val="TFReferencesSection"/>
        <w:rPr>
          <w:rFonts w:cs="Times"/>
          <w:noProof/>
          <w:szCs w:val="24"/>
        </w:rPr>
      </w:pPr>
      <w:r w:rsidRPr="000F1EA3">
        <w:rPr>
          <w:rFonts w:cs="Times"/>
          <w:noProof/>
          <w:szCs w:val="24"/>
        </w:rPr>
        <w:t xml:space="preserve">(35) </w:t>
      </w:r>
      <w:r w:rsidRPr="000F1EA3">
        <w:rPr>
          <w:rFonts w:cs="Times"/>
          <w:noProof/>
          <w:szCs w:val="24"/>
        </w:rPr>
        <w:tab/>
        <w:t xml:space="preserve">Francisco, M.; van den Bruinhorst, A.; Kroon, M. C. New natural and renewable low transition temperature mixtures (LTTMs): screening as solvents for lignocellulosic biomass processing. </w:t>
      </w:r>
      <w:r w:rsidRPr="000F1EA3">
        <w:rPr>
          <w:rFonts w:cs="Times"/>
          <w:i/>
          <w:iCs/>
          <w:noProof/>
          <w:szCs w:val="24"/>
        </w:rPr>
        <w:t>Green Chem.</w:t>
      </w:r>
      <w:r w:rsidRPr="000F1EA3">
        <w:rPr>
          <w:rFonts w:cs="Times"/>
          <w:noProof/>
          <w:szCs w:val="24"/>
        </w:rPr>
        <w:t xml:space="preserve"> </w:t>
      </w:r>
      <w:r w:rsidRPr="000F1EA3">
        <w:rPr>
          <w:rFonts w:cs="Times"/>
          <w:b/>
          <w:bCs/>
          <w:noProof/>
          <w:szCs w:val="24"/>
        </w:rPr>
        <w:t>2012</w:t>
      </w:r>
      <w:r w:rsidRPr="000F1EA3">
        <w:rPr>
          <w:rFonts w:cs="Times"/>
          <w:noProof/>
          <w:szCs w:val="24"/>
        </w:rPr>
        <w:t xml:space="preserve">, </w:t>
      </w:r>
      <w:r w:rsidRPr="000F1EA3">
        <w:rPr>
          <w:rFonts w:cs="Times"/>
          <w:i/>
          <w:iCs/>
          <w:noProof/>
          <w:szCs w:val="24"/>
        </w:rPr>
        <w:t>14</w:t>
      </w:r>
      <w:r w:rsidRPr="000F1EA3">
        <w:rPr>
          <w:rFonts w:cs="Times"/>
          <w:noProof/>
          <w:szCs w:val="24"/>
        </w:rPr>
        <w:t>, 2153–2157.</w:t>
      </w:r>
    </w:p>
    <w:p w:rsidR="00B366F3" w:rsidRPr="000F1EA3" w:rsidRDefault="00B366F3" w:rsidP="0009066B">
      <w:pPr>
        <w:pStyle w:val="TFReferencesSection"/>
        <w:rPr>
          <w:rFonts w:cs="Times"/>
          <w:noProof/>
          <w:szCs w:val="24"/>
        </w:rPr>
      </w:pPr>
      <w:r w:rsidRPr="000F1EA3">
        <w:rPr>
          <w:rFonts w:cs="Times"/>
          <w:noProof/>
          <w:szCs w:val="24"/>
        </w:rPr>
        <w:t xml:space="preserve">(36) </w:t>
      </w:r>
      <w:r w:rsidRPr="000F1EA3">
        <w:rPr>
          <w:rFonts w:cs="Times"/>
          <w:noProof/>
          <w:szCs w:val="24"/>
        </w:rPr>
        <w:tab/>
        <w:t xml:space="preserve">Jablonský, M.; Andrea, Š.; Kamenská, L. Deep eutectic solvents: fractionation of wheat straw. </w:t>
      </w:r>
      <w:r w:rsidRPr="000F1EA3">
        <w:rPr>
          <w:rFonts w:cs="Times"/>
          <w:i/>
          <w:iCs/>
          <w:noProof/>
          <w:szCs w:val="24"/>
        </w:rPr>
        <w:t>Bioresources</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10</w:t>
      </w:r>
      <w:r w:rsidRPr="000F1EA3">
        <w:rPr>
          <w:rFonts w:cs="Times"/>
          <w:noProof/>
          <w:szCs w:val="24"/>
        </w:rPr>
        <w:t>, 8039–8047.</w:t>
      </w:r>
    </w:p>
    <w:p w:rsidR="00B366F3" w:rsidRPr="000F1EA3" w:rsidRDefault="00B366F3" w:rsidP="0009066B">
      <w:pPr>
        <w:pStyle w:val="TFReferencesSection"/>
        <w:rPr>
          <w:rFonts w:cs="Times"/>
          <w:noProof/>
          <w:szCs w:val="24"/>
        </w:rPr>
      </w:pPr>
      <w:r w:rsidRPr="000F1EA3">
        <w:rPr>
          <w:rFonts w:cs="Times"/>
          <w:noProof/>
          <w:szCs w:val="24"/>
        </w:rPr>
        <w:t xml:space="preserve">(37) </w:t>
      </w:r>
      <w:r w:rsidRPr="000F1EA3">
        <w:rPr>
          <w:rFonts w:cs="Times"/>
          <w:noProof/>
          <w:szCs w:val="24"/>
        </w:rPr>
        <w:tab/>
        <w:t xml:space="preserve">Alvarez-Vasco, C.; Ma, R.; Quintero, M.; Guo, M.; Geleynse, S.; Ramasamy, K. K.; Wolcott, M.; Zhang, X. Unique low-molecular-weight lignin with high purity extracted from wood by deep eutectic solvents (DES): a source of lignin for valorization. </w:t>
      </w:r>
      <w:r w:rsidRPr="000F1EA3">
        <w:rPr>
          <w:rFonts w:cs="Times"/>
          <w:i/>
          <w:iCs/>
          <w:noProof/>
          <w:szCs w:val="24"/>
        </w:rPr>
        <w:t>Green Chem.</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18</w:t>
      </w:r>
      <w:r w:rsidRPr="000F1EA3">
        <w:rPr>
          <w:rFonts w:cs="Times"/>
          <w:noProof/>
          <w:szCs w:val="24"/>
        </w:rPr>
        <w:t>, 5133–5141.</w:t>
      </w:r>
    </w:p>
    <w:p w:rsidR="00B366F3" w:rsidRPr="000F1EA3" w:rsidRDefault="00B366F3" w:rsidP="0009066B">
      <w:pPr>
        <w:pStyle w:val="TFReferencesSection"/>
        <w:rPr>
          <w:rFonts w:cs="Times"/>
          <w:noProof/>
          <w:szCs w:val="24"/>
        </w:rPr>
      </w:pPr>
      <w:r w:rsidRPr="000F1EA3">
        <w:rPr>
          <w:rFonts w:cs="Times"/>
          <w:noProof/>
          <w:szCs w:val="24"/>
        </w:rPr>
        <w:t xml:space="preserve">(38) </w:t>
      </w:r>
      <w:r w:rsidRPr="000F1EA3">
        <w:rPr>
          <w:rFonts w:cs="Times"/>
          <w:noProof/>
          <w:szCs w:val="24"/>
        </w:rPr>
        <w:tab/>
        <w:t xml:space="preserve">Liu, Y.; Chen, W.; Xia, Q.; Guo, B.; Wang, Q.; Liu, S.; Liu, Y.; Li, J.; Yu, H. Efficient cleavage of lignin–carbohydrate complexes and ultrafast extraction of lignin oligomers from wood biomass by microwave-assisted treatment with deep eutectic solvent. </w:t>
      </w:r>
      <w:r w:rsidRPr="000F1EA3">
        <w:rPr>
          <w:rFonts w:cs="Times"/>
          <w:i/>
          <w:iCs/>
          <w:noProof/>
          <w:szCs w:val="24"/>
        </w:rPr>
        <w:t>ChemSusChem</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10</w:t>
      </w:r>
      <w:r w:rsidRPr="000F1EA3">
        <w:rPr>
          <w:rFonts w:cs="Times"/>
          <w:noProof/>
          <w:szCs w:val="24"/>
        </w:rPr>
        <w:t>, 1692–1700.</w:t>
      </w:r>
    </w:p>
    <w:p w:rsidR="00B366F3" w:rsidRPr="000F1EA3" w:rsidRDefault="00B366F3" w:rsidP="0009066B">
      <w:pPr>
        <w:pStyle w:val="TFReferencesSection"/>
        <w:rPr>
          <w:rFonts w:cs="Times"/>
          <w:noProof/>
          <w:szCs w:val="24"/>
        </w:rPr>
      </w:pPr>
      <w:r w:rsidRPr="000F1EA3">
        <w:rPr>
          <w:rFonts w:cs="Times"/>
          <w:noProof/>
          <w:szCs w:val="24"/>
        </w:rPr>
        <w:lastRenderedPageBreak/>
        <w:t xml:space="preserve">(39) </w:t>
      </w:r>
      <w:r w:rsidRPr="000F1EA3">
        <w:rPr>
          <w:rFonts w:cs="Times"/>
          <w:noProof/>
          <w:szCs w:val="24"/>
        </w:rPr>
        <w:tab/>
        <w:t>Electronic Code of Federal Regulations https://www.ecfr.gov/cgi-bin/text-idx?SID=97868f80bf753caa25204bdb32667f83&amp;mc=true&amp;node=pt21.6.582&amp;rgn=div5 (accessed Jul 9, 2018).</w:t>
      </w:r>
    </w:p>
    <w:p w:rsidR="00B366F3" w:rsidRPr="000F1EA3" w:rsidRDefault="00B366F3" w:rsidP="0009066B">
      <w:pPr>
        <w:pStyle w:val="TFReferencesSection"/>
        <w:rPr>
          <w:rFonts w:cs="Times"/>
          <w:noProof/>
          <w:szCs w:val="24"/>
        </w:rPr>
      </w:pPr>
      <w:r w:rsidRPr="000F1EA3">
        <w:rPr>
          <w:rFonts w:cs="Times"/>
          <w:noProof/>
          <w:szCs w:val="24"/>
        </w:rPr>
        <w:t xml:space="preserve">(40) </w:t>
      </w:r>
      <w:r w:rsidRPr="000F1EA3">
        <w:rPr>
          <w:rFonts w:cs="Times"/>
          <w:noProof/>
          <w:szCs w:val="24"/>
        </w:rPr>
        <w:tab/>
        <w:t xml:space="preserve">EFSA Panel on Additives and Products or Substances used in Animal Feed (FEEDAP). Scientific Opinion on safety and efficacy of choline chloride as a feed additive for all animal species. </w:t>
      </w:r>
      <w:r w:rsidRPr="000F1EA3">
        <w:rPr>
          <w:rFonts w:cs="Times"/>
          <w:i/>
          <w:iCs/>
          <w:noProof/>
          <w:szCs w:val="24"/>
        </w:rPr>
        <w:t>EFSA J.</w:t>
      </w:r>
      <w:r w:rsidRPr="000F1EA3">
        <w:rPr>
          <w:rFonts w:cs="Times"/>
          <w:noProof/>
          <w:szCs w:val="24"/>
        </w:rPr>
        <w:t xml:space="preserve"> </w:t>
      </w:r>
      <w:r w:rsidRPr="000F1EA3">
        <w:rPr>
          <w:rFonts w:cs="Times"/>
          <w:b/>
          <w:bCs/>
          <w:noProof/>
          <w:szCs w:val="24"/>
        </w:rPr>
        <w:t>2011</w:t>
      </w:r>
      <w:r w:rsidRPr="000F1EA3">
        <w:rPr>
          <w:rFonts w:cs="Times"/>
          <w:noProof/>
          <w:szCs w:val="24"/>
        </w:rPr>
        <w:t xml:space="preserve">, </w:t>
      </w:r>
      <w:r w:rsidRPr="000F1EA3">
        <w:rPr>
          <w:rFonts w:cs="Times"/>
          <w:i/>
          <w:iCs/>
          <w:noProof/>
          <w:szCs w:val="24"/>
        </w:rPr>
        <w:t>9</w:t>
      </w:r>
      <w:r w:rsidRPr="000F1EA3">
        <w:rPr>
          <w:rFonts w:cs="Times"/>
          <w:noProof/>
          <w:szCs w:val="24"/>
        </w:rPr>
        <w:t>, 2353.</w:t>
      </w:r>
    </w:p>
    <w:p w:rsidR="00B366F3" w:rsidRPr="000F1EA3" w:rsidRDefault="00B366F3" w:rsidP="0009066B">
      <w:pPr>
        <w:pStyle w:val="TFReferencesSection"/>
        <w:rPr>
          <w:rFonts w:cs="Times"/>
          <w:noProof/>
          <w:szCs w:val="24"/>
        </w:rPr>
      </w:pPr>
      <w:r w:rsidRPr="000F1EA3">
        <w:rPr>
          <w:rFonts w:cs="Times"/>
          <w:noProof/>
          <w:szCs w:val="24"/>
        </w:rPr>
        <w:t xml:space="preserve">(41) </w:t>
      </w:r>
      <w:r w:rsidRPr="000F1EA3">
        <w:rPr>
          <w:rFonts w:cs="Times"/>
          <w:noProof/>
          <w:szCs w:val="24"/>
        </w:rPr>
        <w:tab/>
        <w:t xml:space="preserve">EFSA Panel on Food Additives and Nutrient Sources added to Food (ANS). Re-evaluation of glycerol (E 422) as a food additive. </w:t>
      </w:r>
      <w:r w:rsidRPr="000F1EA3">
        <w:rPr>
          <w:rFonts w:cs="Times"/>
          <w:i/>
          <w:iCs/>
          <w:noProof/>
          <w:szCs w:val="24"/>
        </w:rPr>
        <w:t>EFSA J.</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15</w:t>
      </w:r>
      <w:r w:rsidRPr="000F1EA3">
        <w:rPr>
          <w:rFonts w:cs="Times"/>
          <w:noProof/>
          <w:szCs w:val="24"/>
        </w:rPr>
        <w:t>, e04720.</w:t>
      </w:r>
    </w:p>
    <w:p w:rsidR="00B366F3" w:rsidRPr="000F1EA3" w:rsidRDefault="00B366F3" w:rsidP="0009066B">
      <w:pPr>
        <w:pStyle w:val="TFReferencesSection"/>
        <w:rPr>
          <w:rFonts w:cs="Times"/>
          <w:noProof/>
          <w:szCs w:val="24"/>
        </w:rPr>
      </w:pPr>
      <w:r w:rsidRPr="000F1EA3">
        <w:rPr>
          <w:rFonts w:cs="Times"/>
          <w:noProof/>
          <w:szCs w:val="24"/>
        </w:rPr>
        <w:t xml:space="preserve">(42) </w:t>
      </w:r>
      <w:r w:rsidRPr="000F1EA3">
        <w:rPr>
          <w:rFonts w:cs="Times"/>
          <w:noProof/>
          <w:szCs w:val="24"/>
        </w:rPr>
        <w:tab/>
        <w:t xml:space="preserve">Ciriminna, R.; Pina, C. Della; Rossi, M.; Pagliaro, M. Understanding the glycerol market. </w:t>
      </w:r>
      <w:r w:rsidRPr="000F1EA3">
        <w:rPr>
          <w:rFonts w:cs="Times"/>
          <w:i/>
          <w:iCs/>
          <w:noProof/>
          <w:szCs w:val="24"/>
        </w:rPr>
        <w:t>Eur. J. Lipid Sci. Technol.</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116</w:t>
      </w:r>
      <w:r w:rsidRPr="000F1EA3">
        <w:rPr>
          <w:rFonts w:cs="Times"/>
          <w:noProof/>
          <w:szCs w:val="24"/>
        </w:rPr>
        <w:t>, 1432–1439.</w:t>
      </w:r>
    </w:p>
    <w:p w:rsidR="00B366F3" w:rsidRPr="000F1EA3" w:rsidRDefault="00B366F3" w:rsidP="0009066B">
      <w:pPr>
        <w:pStyle w:val="TFReferencesSection"/>
        <w:rPr>
          <w:rFonts w:cs="Times"/>
          <w:noProof/>
          <w:szCs w:val="24"/>
        </w:rPr>
      </w:pPr>
      <w:r w:rsidRPr="000F1EA3">
        <w:rPr>
          <w:rFonts w:cs="Times"/>
          <w:noProof/>
          <w:szCs w:val="24"/>
        </w:rPr>
        <w:t xml:space="preserve">(43) </w:t>
      </w:r>
      <w:r w:rsidRPr="000F1EA3">
        <w:rPr>
          <w:rFonts w:cs="Times"/>
          <w:noProof/>
          <w:szCs w:val="24"/>
        </w:rPr>
        <w:tab/>
        <w:t xml:space="preserve">Chen, Z.; Wan, C. Ultrafast fractionation of lignocellulosic biomass by microwave-assisted deep eutectic solvent pretreatment. </w:t>
      </w:r>
      <w:r w:rsidRPr="000F1EA3">
        <w:rPr>
          <w:rFonts w:cs="Times"/>
          <w:i/>
          <w:iCs/>
          <w:noProof/>
          <w:szCs w:val="24"/>
        </w:rPr>
        <w:t>Bioresour. Technol.</w:t>
      </w:r>
      <w:r w:rsidRPr="000F1EA3">
        <w:rPr>
          <w:rFonts w:cs="Times"/>
          <w:noProof/>
          <w:szCs w:val="24"/>
        </w:rPr>
        <w:t xml:space="preserve"> </w:t>
      </w:r>
      <w:r w:rsidRPr="000F1EA3">
        <w:rPr>
          <w:rFonts w:cs="Times"/>
          <w:b/>
          <w:bCs/>
          <w:noProof/>
          <w:szCs w:val="24"/>
        </w:rPr>
        <w:t>2018</w:t>
      </w:r>
      <w:r w:rsidRPr="000F1EA3">
        <w:rPr>
          <w:rFonts w:cs="Times"/>
          <w:noProof/>
          <w:szCs w:val="24"/>
        </w:rPr>
        <w:t xml:space="preserve">, </w:t>
      </w:r>
      <w:r w:rsidRPr="000F1EA3">
        <w:rPr>
          <w:rFonts w:cs="Times"/>
          <w:i/>
          <w:iCs/>
          <w:noProof/>
          <w:szCs w:val="24"/>
        </w:rPr>
        <w:t>250</w:t>
      </w:r>
      <w:r w:rsidRPr="000F1EA3">
        <w:rPr>
          <w:rFonts w:cs="Times"/>
          <w:noProof/>
          <w:szCs w:val="24"/>
        </w:rPr>
        <w:t>, 532–537.</w:t>
      </w:r>
    </w:p>
    <w:p w:rsidR="00B366F3" w:rsidRPr="000F1EA3" w:rsidRDefault="00B366F3" w:rsidP="0009066B">
      <w:pPr>
        <w:pStyle w:val="TFReferencesSection"/>
        <w:rPr>
          <w:rFonts w:cs="Times"/>
          <w:noProof/>
          <w:szCs w:val="24"/>
        </w:rPr>
      </w:pPr>
      <w:r w:rsidRPr="000F1EA3">
        <w:rPr>
          <w:rFonts w:cs="Times"/>
          <w:noProof/>
          <w:szCs w:val="24"/>
        </w:rPr>
        <w:t xml:space="preserve">(44) </w:t>
      </w:r>
      <w:r w:rsidRPr="000F1EA3">
        <w:rPr>
          <w:rFonts w:cs="Times"/>
          <w:noProof/>
          <w:szCs w:val="24"/>
        </w:rPr>
        <w:tab/>
        <w:t xml:space="preserve">Dai, Y.; Witkamp, G. J.; Verpoorte, R.; Choi, Y. H. Natural deep eutectic solvents as a new extraction media for phenolic metabolites in Carthamus tinctorius L. </w:t>
      </w:r>
      <w:r w:rsidRPr="000F1EA3">
        <w:rPr>
          <w:rFonts w:cs="Times"/>
          <w:i/>
          <w:iCs/>
          <w:noProof/>
          <w:szCs w:val="24"/>
        </w:rPr>
        <w:t>Anal. Chem.</w:t>
      </w:r>
      <w:r w:rsidRPr="000F1EA3">
        <w:rPr>
          <w:rFonts w:cs="Times"/>
          <w:noProof/>
          <w:szCs w:val="24"/>
        </w:rPr>
        <w:t xml:space="preserve"> </w:t>
      </w:r>
      <w:r w:rsidRPr="000F1EA3">
        <w:rPr>
          <w:rFonts w:cs="Times"/>
          <w:b/>
          <w:bCs/>
          <w:noProof/>
          <w:szCs w:val="24"/>
        </w:rPr>
        <w:t>2013</w:t>
      </w:r>
      <w:r w:rsidRPr="000F1EA3">
        <w:rPr>
          <w:rFonts w:cs="Times"/>
          <w:noProof/>
          <w:szCs w:val="24"/>
        </w:rPr>
        <w:t xml:space="preserve">, </w:t>
      </w:r>
      <w:r w:rsidRPr="000F1EA3">
        <w:rPr>
          <w:rFonts w:cs="Times"/>
          <w:i/>
          <w:iCs/>
          <w:noProof/>
          <w:szCs w:val="24"/>
        </w:rPr>
        <w:t>85</w:t>
      </w:r>
      <w:r w:rsidRPr="000F1EA3">
        <w:rPr>
          <w:rFonts w:cs="Times"/>
          <w:noProof/>
          <w:szCs w:val="24"/>
        </w:rPr>
        <w:t>, 6272–6278.</w:t>
      </w:r>
    </w:p>
    <w:p w:rsidR="00B366F3" w:rsidRPr="000F1EA3" w:rsidRDefault="00B366F3" w:rsidP="0009066B">
      <w:pPr>
        <w:pStyle w:val="TFReferencesSection"/>
        <w:rPr>
          <w:rFonts w:cs="Times"/>
          <w:noProof/>
          <w:szCs w:val="24"/>
        </w:rPr>
      </w:pPr>
      <w:r w:rsidRPr="000F1EA3">
        <w:rPr>
          <w:rFonts w:cs="Times"/>
          <w:noProof/>
          <w:szCs w:val="24"/>
        </w:rPr>
        <w:t xml:space="preserve">(45) </w:t>
      </w:r>
      <w:r w:rsidRPr="000F1EA3">
        <w:rPr>
          <w:rFonts w:cs="Times"/>
          <w:noProof/>
          <w:szCs w:val="24"/>
        </w:rPr>
        <w:tab/>
        <w:t xml:space="preserve">Liu, Y.; Garzon, J.; Friesen, J. B.; Zhang, Y.; McAlpine, J. B.; Lankin, D. C.; Chen, S. N.; Pauli, G. F. Countercurrent assisted quantitative recovery of metabolites from plant-associated natural deep eutectic solvents. </w:t>
      </w:r>
      <w:r w:rsidRPr="000F1EA3">
        <w:rPr>
          <w:rFonts w:cs="Times"/>
          <w:i/>
          <w:iCs/>
          <w:noProof/>
          <w:szCs w:val="24"/>
        </w:rPr>
        <w:t>Fitoterapia</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112</w:t>
      </w:r>
      <w:r w:rsidRPr="000F1EA3">
        <w:rPr>
          <w:rFonts w:cs="Times"/>
          <w:noProof/>
          <w:szCs w:val="24"/>
        </w:rPr>
        <w:t>, 30–37.</w:t>
      </w:r>
      <w:r w:rsidR="00C403F7" w:rsidRPr="000F1EA3" w:rsidDel="00C403F7">
        <w:rPr>
          <w:rFonts w:cs="Times"/>
          <w:noProof/>
          <w:szCs w:val="24"/>
        </w:rPr>
        <w:t xml:space="preserve"> </w:t>
      </w:r>
      <w:r w:rsidRPr="000F1EA3">
        <w:rPr>
          <w:rFonts w:cs="Times"/>
          <w:noProof/>
          <w:szCs w:val="24"/>
        </w:rPr>
        <w:t>(</w:t>
      </w:r>
      <w:r w:rsidR="00C403F7" w:rsidRPr="000F1EA3">
        <w:rPr>
          <w:rFonts w:cs="Times"/>
          <w:noProof/>
          <w:szCs w:val="24"/>
        </w:rPr>
        <w:t>46</w:t>
      </w:r>
      <w:r w:rsidRPr="000F1EA3">
        <w:rPr>
          <w:rFonts w:cs="Times"/>
          <w:noProof/>
          <w:szCs w:val="24"/>
        </w:rPr>
        <w:t xml:space="preserve">) </w:t>
      </w:r>
      <w:r w:rsidRPr="000F1EA3">
        <w:rPr>
          <w:rFonts w:cs="Times"/>
          <w:noProof/>
          <w:szCs w:val="24"/>
        </w:rPr>
        <w:tab/>
        <w:t xml:space="preserve">Dai, Y.; van Spronsen, J.; Witkamp, G. J.; Verpoorte, R.; Choi, Y. H. Natural deep eutectic solvents as new potential media for green technology. </w:t>
      </w:r>
      <w:r w:rsidRPr="000F1EA3">
        <w:rPr>
          <w:rFonts w:cs="Times"/>
          <w:i/>
          <w:iCs/>
          <w:noProof/>
          <w:szCs w:val="24"/>
        </w:rPr>
        <w:t>Anal. Chim. Acta</w:t>
      </w:r>
      <w:r w:rsidRPr="000F1EA3">
        <w:rPr>
          <w:rFonts w:cs="Times"/>
          <w:noProof/>
          <w:szCs w:val="24"/>
        </w:rPr>
        <w:t xml:space="preserve"> </w:t>
      </w:r>
      <w:r w:rsidRPr="000F1EA3">
        <w:rPr>
          <w:rFonts w:cs="Times"/>
          <w:b/>
          <w:bCs/>
          <w:noProof/>
          <w:szCs w:val="24"/>
        </w:rPr>
        <w:t>2013</w:t>
      </w:r>
      <w:r w:rsidRPr="000F1EA3">
        <w:rPr>
          <w:rFonts w:cs="Times"/>
          <w:noProof/>
          <w:szCs w:val="24"/>
        </w:rPr>
        <w:t xml:space="preserve">, </w:t>
      </w:r>
      <w:r w:rsidRPr="000F1EA3">
        <w:rPr>
          <w:rFonts w:cs="Times"/>
          <w:i/>
          <w:iCs/>
          <w:noProof/>
          <w:szCs w:val="24"/>
        </w:rPr>
        <w:t>766</w:t>
      </w:r>
      <w:r w:rsidRPr="000F1EA3">
        <w:rPr>
          <w:rFonts w:cs="Times"/>
          <w:noProof/>
          <w:szCs w:val="24"/>
        </w:rPr>
        <w:t>, 61–68.</w:t>
      </w:r>
    </w:p>
    <w:p w:rsidR="00B366F3" w:rsidRPr="000F1EA3" w:rsidRDefault="00B366F3" w:rsidP="0009066B">
      <w:pPr>
        <w:pStyle w:val="TFReferencesSection"/>
        <w:rPr>
          <w:rFonts w:cs="Times"/>
          <w:noProof/>
          <w:szCs w:val="24"/>
        </w:rPr>
      </w:pPr>
      <w:r w:rsidRPr="000F1EA3">
        <w:rPr>
          <w:rFonts w:cs="Times"/>
          <w:noProof/>
          <w:szCs w:val="24"/>
        </w:rPr>
        <w:lastRenderedPageBreak/>
        <w:t>(</w:t>
      </w:r>
      <w:r w:rsidR="00C403F7" w:rsidRPr="000F1EA3">
        <w:rPr>
          <w:rFonts w:cs="Times"/>
          <w:noProof/>
          <w:szCs w:val="24"/>
        </w:rPr>
        <w:t>47</w:t>
      </w:r>
      <w:r w:rsidRPr="000F1EA3">
        <w:rPr>
          <w:rFonts w:cs="Times"/>
          <w:noProof/>
          <w:szCs w:val="24"/>
        </w:rPr>
        <w:t xml:space="preserve">) </w:t>
      </w:r>
      <w:r w:rsidRPr="000F1EA3">
        <w:rPr>
          <w:rFonts w:cs="Times"/>
          <w:noProof/>
          <w:szCs w:val="24"/>
        </w:rPr>
        <w:tab/>
        <w:t xml:space="preserve">Marles, M. A. S.; Gruber, M. Y. Histochemical characterisation of unextractable seed coat pigments and quantification of extractable lignin in the Brassicaceae. </w:t>
      </w:r>
      <w:r w:rsidRPr="000F1EA3">
        <w:rPr>
          <w:rFonts w:cs="Times"/>
          <w:i/>
          <w:iCs/>
          <w:noProof/>
          <w:szCs w:val="24"/>
        </w:rPr>
        <w:t>J. Sci. Food Agric.</w:t>
      </w:r>
      <w:r w:rsidRPr="000F1EA3">
        <w:rPr>
          <w:rFonts w:cs="Times"/>
          <w:noProof/>
          <w:szCs w:val="24"/>
        </w:rPr>
        <w:t xml:space="preserve"> </w:t>
      </w:r>
      <w:r w:rsidRPr="000F1EA3">
        <w:rPr>
          <w:rFonts w:cs="Times"/>
          <w:b/>
          <w:bCs/>
          <w:noProof/>
          <w:szCs w:val="24"/>
        </w:rPr>
        <w:t>2004</w:t>
      </w:r>
      <w:r w:rsidRPr="000F1EA3">
        <w:rPr>
          <w:rFonts w:cs="Times"/>
          <w:noProof/>
          <w:szCs w:val="24"/>
        </w:rPr>
        <w:t xml:space="preserve">, </w:t>
      </w:r>
      <w:r w:rsidRPr="000F1EA3">
        <w:rPr>
          <w:rFonts w:cs="Times"/>
          <w:i/>
          <w:iCs/>
          <w:noProof/>
          <w:szCs w:val="24"/>
        </w:rPr>
        <w:t>84</w:t>
      </w:r>
      <w:r w:rsidRPr="000F1EA3">
        <w:rPr>
          <w:rFonts w:cs="Times"/>
          <w:noProof/>
          <w:szCs w:val="24"/>
        </w:rPr>
        <w:t>, 251–262.</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48</w:t>
      </w:r>
      <w:r w:rsidRPr="000F1EA3">
        <w:rPr>
          <w:rFonts w:cs="Times"/>
          <w:noProof/>
          <w:szCs w:val="24"/>
        </w:rPr>
        <w:t xml:space="preserve">) </w:t>
      </w:r>
      <w:r w:rsidRPr="000F1EA3">
        <w:rPr>
          <w:rFonts w:cs="Times"/>
          <w:noProof/>
          <w:szCs w:val="24"/>
        </w:rPr>
        <w:tab/>
        <w:t xml:space="preserve">Fu, L.; McCallum, S. A.; Miao, J.; Hart, C.; Tudryn, G. J.; Zhang, F.; Linhardt, R. J. Rapid and accurate determination of the lignin content of lignocellulosic biomass by solid-state NMR. </w:t>
      </w:r>
      <w:r w:rsidRPr="000F1EA3">
        <w:rPr>
          <w:rFonts w:cs="Times"/>
          <w:i/>
          <w:iCs/>
          <w:noProof/>
          <w:szCs w:val="24"/>
        </w:rPr>
        <w:t>Fuel</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141</w:t>
      </w:r>
      <w:r w:rsidRPr="000F1EA3">
        <w:rPr>
          <w:rFonts w:cs="Times"/>
          <w:noProof/>
          <w:szCs w:val="24"/>
        </w:rPr>
        <w:t>, 39–45.</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49</w:t>
      </w:r>
      <w:r w:rsidRPr="000F1EA3">
        <w:rPr>
          <w:rFonts w:cs="Times"/>
          <w:noProof/>
          <w:szCs w:val="24"/>
        </w:rPr>
        <w:t xml:space="preserve">) </w:t>
      </w:r>
      <w:r w:rsidRPr="000F1EA3">
        <w:rPr>
          <w:rFonts w:cs="Times"/>
          <w:noProof/>
          <w:szCs w:val="24"/>
        </w:rPr>
        <w:tab/>
        <w:t xml:space="preserve">de Melo, E. M.; Clark, J. H.; Matharu, A. S. The Hy-MASS concept: hydrothermal microwave assisted selective scissoring of cellulose for in situ production of (meso)porous nanocellulose fibrils and crystals. </w:t>
      </w:r>
      <w:r w:rsidRPr="000F1EA3">
        <w:rPr>
          <w:rFonts w:cs="Times"/>
          <w:i/>
          <w:iCs/>
          <w:noProof/>
          <w:szCs w:val="24"/>
        </w:rPr>
        <w:t>Green Chem.</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19</w:t>
      </w:r>
      <w:r w:rsidRPr="000F1EA3">
        <w:rPr>
          <w:rFonts w:cs="Times"/>
          <w:noProof/>
          <w:szCs w:val="24"/>
        </w:rPr>
        <w:t>, 3408–3417.</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50</w:t>
      </w:r>
      <w:r w:rsidRPr="000F1EA3">
        <w:rPr>
          <w:rFonts w:cs="Times"/>
          <w:noProof/>
          <w:szCs w:val="24"/>
        </w:rPr>
        <w:t xml:space="preserve">) </w:t>
      </w:r>
      <w:r w:rsidRPr="000F1EA3">
        <w:rPr>
          <w:rFonts w:cs="Times"/>
          <w:noProof/>
          <w:szCs w:val="24"/>
        </w:rPr>
        <w:tab/>
        <w:t xml:space="preserve">Brech, Y. L.; Raya, J.; Delmotte, L.; Brosse, N.; Gadiou, R.; Dufour, A. Characterization of biomass char formation investigated by advanced solid state NMR. </w:t>
      </w:r>
      <w:r w:rsidRPr="000F1EA3">
        <w:rPr>
          <w:rFonts w:cs="Times"/>
          <w:i/>
          <w:iCs/>
          <w:noProof/>
          <w:szCs w:val="24"/>
        </w:rPr>
        <w:t>Carbon</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108</w:t>
      </w:r>
      <w:r w:rsidRPr="000F1EA3">
        <w:rPr>
          <w:rFonts w:cs="Times"/>
          <w:noProof/>
          <w:szCs w:val="24"/>
        </w:rPr>
        <w:t>, 165–177.</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51</w:t>
      </w:r>
      <w:r w:rsidRPr="000F1EA3">
        <w:rPr>
          <w:rFonts w:cs="Times"/>
          <w:noProof/>
          <w:szCs w:val="24"/>
        </w:rPr>
        <w:t xml:space="preserve">) </w:t>
      </w:r>
      <w:r w:rsidRPr="000F1EA3">
        <w:rPr>
          <w:rFonts w:cs="Times"/>
          <w:noProof/>
          <w:szCs w:val="24"/>
        </w:rPr>
        <w:tab/>
        <w:t xml:space="preserve">Saitô, H.; Ando, I.; Naito, A. </w:t>
      </w:r>
      <w:r w:rsidRPr="000F1EA3">
        <w:rPr>
          <w:rFonts w:cs="Times"/>
          <w:i/>
          <w:iCs/>
          <w:noProof/>
          <w:szCs w:val="24"/>
        </w:rPr>
        <w:t>Solid State NMR Spectroscopy for Biopolymers. Principles and Applications</w:t>
      </w:r>
      <w:r w:rsidRPr="000F1EA3">
        <w:rPr>
          <w:rFonts w:cs="Times"/>
          <w:noProof/>
          <w:szCs w:val="24"/>
        </w:rPr>
        <w:t xml:space="preserve">; Springer: Dordrecht, </w:t>
      </w:r>
      <w:r w:rsidR="00683BF3" w:rsidRPr="000F1EA3">
        <w:rPr>
          <w:rFonts w:cs="Times"/>
          <w:noProof/>
          <w:szCs w:val="24"/>
        </w:rPr>
        <w:t xml:space="preserve">The Netherlands, </w:t>
      </w:r>
      <w:r w:rsidRPr="000F1EA3">
        <w:rPr>
          <w:rFonts w:cs="Times"/>
          <w:noProof/>
          <w:szCs w:val="24"/>
        </w:rPr>
        <w:t>2006.</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52</w:t>
      </w:r>
      <w:r w:rsidRPr="000F1EA3">
        <w:rPr>
          <w:rFonts w:cs="Times"/>
          <w:noProof/>
          <w:szCs w:val="24"/>
        </w:rPr>
        <w:t xml:space="preserve">) </w:t>
      </w:r>
      <w:r w:rsidRPr="000F1EA3">
        <w:rPr>
          <w:rFonts w:cs="Times"/>
          <w:noProof/>
          <w:szCs w:val="24"/>
        </w:rPr>
        <w:tab/>
        <w:t xml:space="preserve">Bardet, M.; Foray, M. F.; Bourguignon, J.; Krajewski, P. Investigation of seeds with high-resolution solid-state13C NMR. </w:t>
      </w:r>
      <w:r w:rsidRPr="000F1EA3">
        <w:rPr>
          <w:rFonts w:cs="Times"/>
          <w:i/>
          <w:iCs/>
          <w:noProof/>
          <w:szCs w:val="24"/>
        </w:rPr>
        <w:t>Magn. Reson. Chem.</w:t>
      </w:r>
      <w:r w:rsidRPr="000F1EA3">
        <w:rPr>
          <w:rFonts w:cs="Times"/>
          <w:noProof/>
          <w:szCs w:val="24"/>
        </w:rPr>
        <w:t xml:space="preserve"> </w:t>
      </w:r>
      <w:r w:rsidRPr="000F1EA3">
        <w:rPr>
          <w:rFonts w:cs="Times"/>
          <w:b/>
          <w:bCs/>
          <w:noProof/>
          <w:szCs w:val="24"/>
        </w:rPr>
        <w:t>2001</w:t>
      </w:r>
      <w:r w:rsidRPr="000F1EA3">
        <w:rPr>
          <w:rFonts w:cs="Times"/>
          <w:noProof/>
          <w:szCs w:val="24"/>
        </w:rPr>
        <w:t xml:space="preserve">, </w:t>
      </w:r>
      <w:r w:rsidRPr="000F1EA3">
        <w:rPr>
          <w:rFonts w:cs="Times"/>
          <w:i/>
          <w:iCs/>
          <w:noProof/>
          <w:szCs w:val="24"/>
        </w:rPr>
        <w:t>39</w:t>
      </w:r>
      <w:r w:rsidRPr="000F1EA3">
        <w:rPr>
          <w:rFonts w:cs="Times"/>
          <w:noProof/>
          <w:szCs w:val="24"/>
        </w:rPr>
        <w:t>, 733–738.</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53</w:t>
      </w:r>
      <w:r w:rsidRPr="000F1EA3">
        <w:rPr>
          <w:rFonts w:cs="Times"/>
          <w:noProof/>
          <w:szCs w:val="24"/>
        </w:rPr>
        <w:t xml:space="preserve">) </w:t>
      </w:r>
      <w:r w:rsidRPr="000F1EA3">
        <w:rPr>
          <w:rFonts w:cs="Times"/>
          <w:noProof/>
          <w:szCs w:val="24"/>
        </w:rPr>
        <w:tab/>
        <w:t xml:space="preserve">Prieur, B.; Meub, M.; Wittemann, M.; Klein, R.; Bellayer, S.; Fontaine, G.; Bourbigot, S. Phosphorylation of lignin: characterization and investigation of the thermal decomposition. </w:t>
      </w:r>
      <w:r w:rsidRPr="000F1EA3">
        <w:rPr>
          <w:rFonts w:cs="Times"/>
          <w:i/>
          <w:iCs/>
          <w:noProof/>
          <w:szCs w:val="24"/>
        </w:rPr>
        <w:t>RSC Adv.</w:t>
      </w:r>
      <w:r w:rsidRPr="000F1EA3">
        <w:rPr>
          <w:rFonts w:cs="Times"/>
          <w:noProof/>
          <w:szCs w:val="24"/>
        </w:rPr>
        <w:t xml:space="preserve"> </w:t>
      </w:r>
      <w:r w:rsidRPr="000F1EA3">
        <w:rPr>
          <w:rFonts w:cs="Times"/>
          <w:b/>
          <w:bCs/>
          <w:noProof/>
          <w:szCs w:val="24"/>
        </w:rPr>
        <w:t>2017</w:t>
      </w:r>
      <w:r w:rsidRPr="000F1EA3">
        <w:rPr>
          <w:rFonts w:cs="Times"/>
          <w:noProof/>
          <w:szCs w:val="24"/>
        </w:rPr>
        <w:t xml:space="preserve">, </w:t>
      </w:r>
      <w:r w:rsidRPr="000F1EA3">
        <w:rPr>
          <w:rFonts w:cs="Times"/>
          <w:i/>
          <w:iCs/>
          <w:noProof/>
          <w:szCs w:val="24"/>
        </w:rPr>
        <w:t>7</w:t>
      </w:r>
      <w:r w:rsidRPr="000F1EA3">
        <w:rPr>
          <w:rFonts w:cs="Times"/>
          <w:noProof/>
          <w:szCs w:val="24"/>
        </w:rPr>
        <w:t>, 16866–16877.</w:t>
      </w:r>
    </w:p>
    <w:p w:rsidR="00B366F3" w:rsidRPr="000F1EA3" w:rsidRDefault="00B366F3" w:rsidP="0009066B">
      <w:pPr>
        <w:pStyle w:val="TFReferencesSection"/>
        <w:rPr>
          <w:rFonts w:cs="Times"/>
          <w:noProof/>
          <w:szCs w:val="24"/>
        </w:rPr>
      </w:pPr>
      <w:r w:rsidRPr="000F1EA3">
        <w:rPr>
          <w:rFonts w:cs="Times"/>
          <w:noProof/>
          <w:szCs w:val="24"/>
        </w:rPr>
        <w:lastRenderedPageBreak/>
        <w:t>(</w:t>
      </w:r>
      <w:r w:rsidR="00C403F7" w:rsidRPr="000F1EA3">
        <w:rPr>
          <w:rFonts w:cs="Times"/>
          <w:noProof/>
          <w:szCs w:val="24"/>
        </w:rPr>
        <w:t>54</w:t>
      </w:r>
      <w:r w:rsidRPr="000F1EA3">
        <w:rPr>
          <w:rFonts w:cs="Times"/>
          <w:noProof/>
          <w:szCs w:val="24"/>
        </w:rPr>
        <w:t xml:space="preserve">) </w:t>
      </w:r>
      <w:r w:rsidRPr="000F1EA3">
        <w:rPr>
          <w:rFonts w:cs="Times"/>
          <w:noProof/>
          <w:szCs w:val="24"/>
        </w:rPr>
        <w:tab/>
        <w:t xml:space="preserve">Holtman, K. M.; Chen, N.; Chappell, M. A.; Kadla, J. F.; Xu, L.; Mao, J. Chemical structure and heterogeneity differences of two lignins from loblolly pine as investigated by advanced solid-state NMR spectroscopy. </w:t>
      </w:r>
      <w:r w:rsidRPr="000F1EA3">
        <w:rPr>
          <w:rFonts w:cs="Times"/>
          <w:i/>
          <w:iCs/>
          <w:noProof/>
          <w:szCs w:val="24"/>
        </w:rPr>
        <w:t>J. Agric. Food Chem.</w:t>
      </w:r>
      <w:r w:rsidRPr="000F1EA3">
        <w:rPr>
          <w:rFonts w:cs="Times"/>
          <w:noProof/>
          <w:szCs w:val="24"/>
        </w:rPr>
        <w:t xml:space="preserve"> </w:t>
      </w:r>
      <w:r w:rsidRPr="000F1EA3">
        <w:rPr>
          <w:rFonts w:cs="Times"/>
          <w:b/>
          <w:bCs/>
          <w:noProof/>
          <w:szCs w:val="24"/>
        </w:rPr>
        <w:t>2010</w:t>
      </w:r>
      <w:r w:rsidRPr="000F1EA3">
        <w:rPr>
          <w:rFonts w:cs="Times"/>
          <w:noProof/>
          <w:szCs w:val="24"/>
        </w:rPr>
        <w:t xml:space="preserve">, </w:t>
      </w:r>
      <w:r w:rsidRPr="000F1EA3">
        <w:rPr>
          <w:rFonts w:cs="Times"/>
          <w:i/>
          <w:iCs/>
          <w:noProof/>
          <w:szCs w:val="24"/>
        </w:rPr>
        <w:t>58</w:t>
      </w:r>
      <w:r w:rsidRPr="000F1EA3">
        <w:rPr>
          <w:rFonts w:cs="Times"/>
          <w:noProof/>
          <w:szCs w:val="24"/>
        </w:rPr>
        <w:t>, 9882–9892.</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55</w:t>
      </w:r>
      <w:r w:rsidRPr="000F1EA3">
        <w:rPr>
          <w:rFonts w:cs="Times"/>
          <w:noProof/>
          <w:szCs w:val="24"/>
        </w:rPr>
        <w:t xml:space="preserve">) </w:t>
      </w:r>
      <w:r w:rsidRPr="000F1EA3">
        <w:rPr>
          <w:rFonts w:cs="Times"/>
          <w:noProof/>
          <w:szCs w:val="24"/>
        </w:rPr>
        <w:tab/>
        <w:t xml:space="preserve">Dupree, R.; Simmons, T. J.; Mortimer, J. C.; Patel, D.; Iuga, D.; Brown, S. P.; Dupree, P. Probing the molecular architecture of Arabidopsis thaliana secondary cell walls using two- and three-dimensional </w:t>
      </w:r>
      <w:r w:rsidRPr="000F1EA3">
        <w:rPr>
          <w:rFonts w:cs="Times"/>
          <w:noProof/>
          <w:szCs w:val="24"/>
          <w:vertAlign w:val="superscript"/>
        </w:rPr>
        <w:t>13</w:t>
      </w:r>
      <w:r w:rsidRPr="000F1EA3">
        <w:rPr>
          <w:rFonts w:cs="Times"/>
          <w:noProof/>
          <w:szCs w:val="24"/>
        </w:rPr>
        <w:t xml:space="preserve">C solid state nuclear magnetic resonance spectroscopy. </w:t>
      </w:r>
      <w:r w:rsidRPr="000F1EA3">
        <w:rPr>
          <w:rFonts w:cs="Times"/>
          <w:i/>
          <w:iCs/>
          <w:noProof/>
          <w:szCs w:val="24"/>
        </w:rPr>
        <w:t>Biochemistry</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54</w:t>
      </w:r>
      <w:r w:rsidRPr="000F1EA3">
        <w:rPr>
          <w:rFonts w:cs="Times"/>
          <w:noProof/>
          <w:szCs w:val="24"/>
        </w:rPr>
        <w:t>, 2335–2345.</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56</w:t>
      </w:r>
      <w:r w:rsidRPr="000F1EA3">
        <w:rPr>
          <w:rFonts w:cs="Times"/>
          <w:noProof/>
          <w:szCs w:val="24"/>
        </w:rPr>
        <w:t xml:space="preserve">) </w:t>
      </w:r>
      <w:r w:rsidRPr="000F1EA3">
        <w:rPr>
          <w:rFonts w:cs="Times"/>
          <w:noProof/>
          <w:szCs w:val="24"/>
        </w:rPr>
        <w:tab/>
        <w:t xml:space="preserve">Martínez-Richa, A.; Silvestri, R. L. Developments in Solid-State NMR Spectroscopy of Polymer Systems. In </w:t>
      </w:r>
      <w:r w:rsidRPr="000F1EA3">
        <w:rPr>
          <w:rFonts w:cs="Times"/>
          <w:i/>
          <w:iCs/>
          <w:noProof/>
          <w:szCs w:val="24"/>
        </w:rPr>
        <w:t>Spectroscopic Analyses - Developments and Applications</w:t>
      </w:r>
      <w:r w:rsidRPr="000F1EA3">
        <w:rPr>
          <w:rFonts w:cs="Times"/>
          <w:noProof/>
          <w:szCs w:val="24"/>
        </w:rPr>
        <w:t xml:space="preserve">; Zafar, F., Sharmin, E., Eds.; IntechOpen, 2017; </w:t>
      </w:r>
      <w:r w:rsidR="00683BF3" w:rsidRPr="000F1EA3">
        <w:rPr>
          <w:rFonts w:cs="Times"/>
          <w:noProof/>
          <w:szCs w:val="24"/>
        </w:rPr>
        <w:t>DOI: 10.5772/intechopen.70116</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57</w:t>
      </w:r>
      <w:r w:rsidRPr="000F1EA3">
        <w:rPr>
          <w:rFonts w:cs="Times"/>
          <w:noProof/>
          <w:szCs w:val="24"/>
        </w:rPr>
        <w:t xml:space="preserve">) </w:t>
      </w:r>
      <w:r w:rsidRPr="000F1EA3">
        <w:rPr>
          <w:rFonts w:cs="Times"/>
          <w:noProof/>
          <w:szCs w:val="24"/>
        </w:rPr>
        <w:tab/>
        <w:t xml:space="preserve">Xu, G. C.; Ding, J. C.; Han, R. Z.; Dong, J. J.; Ni, Y. Enhancing cellulose accessibility of corn stover by deep eutectic solvent pretreatment for butanol fermentation. </w:t>
      </w:r>
      <w:r w:rsidRPr="000F1EA3">
        <w:rPr>
          <w:rFonts w:cs="Times"/>
          <w:i/>
          <w:iCs/>
          <w:noProof/>
          <w:szCs w:val="24"/>
        </w:rPr>
        <w:t>Bioresour. Technol.</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203</w:t>
      </w:r>
      <w:r w:rsidRPr="000F1EA3">
        <w:rPr>
          <w:rFonts w:cs="Times"/>
          <w:noProof/>
          <w:szCs w:val="24"/>
        </w:rPr>
        <w:t>, 364–369.</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58</w:t>
      </w:r>
      <w:r w:rsidRPr="000F1EA3">
        <w:rPr>
          <w:rFonts w:cs="Times"/>
          <w:noProof/>
          <w:szCs w:val="24"/>
        </w:rPr>
        <w:t xml:space="preserve">) </w:t>
      </w:r>
      <w:r w:rsidRPr="000F1EA3">
        <w:rPr>
          <w:rFonts w:cs="Times"/>
          <w:noProof/>
          <w:szCs w:val="24"/>
        </w:rPr>
        <w:tab/>
        <w:t xml:space="preserve">Kumar, A. K.; Parikh, B. S.; Pravakar, M. Natural deep eutectic solvent mediated pretreatment of rice straw: bioanalytical characterization of lignin extract and enzymatic hydrolysis of pretreated biomass residue. </w:t>
      </w:r>
      <w:r w:rsidRPr="000F1EA3">
        <w:rPr>
          <w:rFonts w:cs="Times"/>
          <w:i/>
          <w:iCs/>
          <w:noProof/>
          <w:szCs w:val="24"/>
        </w:rPr>
        <w:t>Environ. Sci. Pollut. Res.</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23</w:t>
      </w:r>
      <w:r w:rsidRPr="000F1EA3">
        <w:rPr>
          <w:rFonts w:cs="Times"/>
          <w:noProof/>
          <w:szCs w:val="24"/>
        </w:rPr>
        <w:t>, 9265–9275.</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59</w:t>
      </w:r>
      <w:r w:rsidRPr="000F1EA3">
        <w:rPr>
          <w:rFonts w:cs="Times"/>
          <w:noProof/>
          <w:szCs w:val="24"/>
        </w:rPr>
        <w:t xml:space="preserve">) </w:t>
      </w:r>
      <w:r w:rsidRPr="000F1EA3">
        <w:rPr>
          <w:rFonts w:cs="Times"/>
          <w:noProof/>
          <w:szCs w:val="24"/>
        </w:rPr>
        <w:tab/>
        <w:t xml:space="preserve">Abbott, A. P.; Alaysuy, O.; Antunes, A. P. M.; Douglas, A. C.; Guthrie-Strachan, J.; Wise, W. R. Processing of leather using deep eutectic solvents. </w:t>
      </w:r>
      <w:r w:rsidRPr="000F1EA3">
        <w:rPr>
          <w:rFonts w:cs="Times"/>
          <w:i/>
          <w:iCs/>
          <w:noProof/>
          <w:szCs w:val="24"/>
        </w:rPr>
        <w:t>ACS Sustain. Chem. Eng.</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3</w:t>
      </w:r>
      <w:r w:rsidRPr="000F1EA3">
        <w:rPr>
          <w:rFonts w:cs="Times"/>
          <w:noProof/>
          <w:szCs w:val="24"/>
        </w:rPr>
        <w:t>, 1241–1247.</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60</w:t>
      </w:r>
      <w:r w:rsidRPr="000F1EA3">
        <w:rPr>
          <w:rFonts w:cs="Times"/>
          <w:noProof/>
          <w:szCs w:val="24"/>
        </w:rPr>
        <w:t xml:space="preserve">) </w:t>
      </w:r>
      <w:r w:rsidRPr="000F1EA3">
        <w:rPr>
          <w:rFonts w:cs="Times"/>
          <w:noProof/>
          <w:szCs w:val="24"/>
        </w:rPr>
        <w:tab/>
        <w:t xml:space="preserve">Zinsmeister, H. D.; Bartl, S. The phenolic compounds of Oenothera. </w:t>
      </w:r>
      <w:r w:rsidRPr="000F1EA3">
        <w:rPr>
          <w:rFonts w:cs="Times"/>
          <w:i/>
          <w:iCs/>
          <w:noProof/>
          <w:szCs w:val="24"/>
        </w:rPr>
        <w:t>Phytochemistry</w:t>
      </w:r>
      <w:r w:rsidRPr="000F1EA3">
        <w:rPr>
          <w:rFonts w:cs="Times"/>
          <w:noProof/>
          <w:szCs w:val="24"/>
        </w:rPr>
        <w:t xml:space="preserve"> </w:t>
      </w:r>
      <w:r w:rsidRPr="000F1EA3">
        <w:rPr>
          <w:rFonts w:cs="Times"/>
          <w:b/>
          <w:bCs/>
          <w:noProof/>
          <w:szCs w:val="24"/>
        </w:rPr>
        <w:t>1971</w:t>
      </w:r>
      <w:r w:rsidRPr="000F1EA3">
        <w:rPr>
          <w:rFonts w:cs="Times"/>
          <w:noProof/>
          <w:szCs w:val="24"/>
        </w:rPr>
        <w:t xml:space="preserve">, </w:t>
      </w:r>
      <w:r w:rsidRPr="000F1EA3">
        <w:rPr>
          <w:rFonts w:cs="Times"/>
          <w:i/>
          <w:iCs/>
          <w:noProof/>
          <w:szCs w:val="24"/>
        </w:rPr>
        <w:t>10</w:t>
      </w:r>
      <w:r w:rsidRPr="000F1EA3">
        <w:rPr>
          <w:rFonts w:cs="Times"/>
          <w:noProof/>
          <w:szCs w:val="24"/>
        </w:rPr>
        <w:t>, 3129–3132.</w:t>
      </w:r>
    </w:p>
    <w:p w:rsidR="00B366F3" w:rsidRPr="000F1EA3" w:rsidRDefault="00B366F3" w:rsidP="0009066B">
      <w:pPr>
        <w:pStyle w:val="TFReferencesSection"/>
        <w:rPr>
          <w:rFonts w:cs="Times"/>
          <w:noProof/>
          <w:szCs w:val="24"/>
        </w:rPr>
      </w:pPr>
      <w:r w:rsidRPr="000F1EA3">
        <w:rPr>
          <w:rFonts w:cs="Times"/>
          <w:noProof/>
          <w:szCs w:val="24"/>
        </w:rPr>
        <w:lastRenderedPageBreak/>
        <w:t>(</w:t>
      </w:r>
      <w:r w:rsidR="00C403F7" w:rsidRPr="000F1EA3">
        <w:rPr>
          <w:rFonts w:cs="Times"/>
          <w:noProof/>
          <w:szCs w:val="24"/>
        </w:rPr>
        <w:t>61</w:t>
      </w:r>
      <w:r w:rsidRPr="000F1EA3">
        <w:rPr>
          <w:rFonts w:cs="Times"/>
          <w:noProof/>
          <w:szCs w:val="24"/>
        </w:rPr>
        <w:t xml:space="preserve">) </w:t>
      </w:r>
      <w:r w:rsidRPr="000F1EA3">
        <w:rPr>
          <w:rFonts w:cs="Times"/>
          <w:noProof/>
          <w:szCs w:val="24"/>
        </w:rPr>
        <w:tab/>
        <w:t xml:space="preserve">Neumann, G.; Schwemmle, B. Organ- and tissue-specific biosynthesis of flavonoids in seedlings of Oenothera odorata (Onagraceae). </w:t>
      </w:r>
      <w:r w:rsidRPr="000F1EA3">
        <w:rPr>
          <w:rFonts w:cs="Times"/>
          <w:i/>
          <w:iCs/>
          <w:noProof/>
          <w:szCs w:val="24"/>
        </w:rPr>
        <w:t>Bot. Acta</w:t>
      </w:r>
      <w:r w:rsidRPr="000F1EA3">
        <w:rPr>
          <w:rFonts w:cs="Times"/>
          <w:noProof/>
          <w:szCs w:val="24"/>
        </w:rPr>
        <w:t xml:space="preserve"> </w:t>
      </w:r>
      <w:r w:rsidRPr="000F1EA3">
        <w:rPr>
          <w:rFonts w:cs="Times"/>
          <w:b/>
          <w:bCs/>
          <w:noProof/>
          <w:szCs w:val="24"/>
        </w:rPr>
        <w:t>1994</w:t>
      </w:r>
      <w:r w:rsidRPr="000F1EA3">
        <w:rPr>
          <w:rFonts w:cs="Times"/>
          <w:noProof/>
          <w:szCs w:val="24"/>
        </w:rPr>
        <w:t xml:space="preserve">, </w:t>
      </w:r>
      <w:r w:rsidRPr="000F1EA3">
        <w:rPr>
          <w:rFonts w:cs="Times"/>
          <w:i/>
          <w:iCs/>
          <w:noProof/>
          <w:szCs w:val="24"/>
        </w:rPr>
        <w:t>107</w:t>
      </w:r>
      <w:r w:rsidRPr="000F1EA3">
        <w:rPr>
          <w:rFonts w:cs="Times"/>
          <w:noProof/>
          <w:szCs w:val="24"/>
        </w:rPr>
        <w:t>, 95–102.</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62</w:t>
      </w:r>
      <w:r w:rsidRPr="000F1EA3">
        <w:rPr>
          <w:rFonts w:cs="Times"/>
          <w:noProof/>
          <w:szCs w:val="24"/>
        </w:rPr>
        <w:t xml:space="preserve">) </w:t>
      </w:r>
      <w:r w:rsidRPr="000F1EA3">
        <w:rPr>
          <w:rFonts w:cs="Times"/>
          <w:noProof/>
          <w:szCs w:val="24"/>
        </w:rPr>
        <w:tab/>
        <w:t xml:space="preserve">Neumann, G.; Schwemmle, B. Flavonoids from Oenothera-seedlings: identification and extranuclear control of their biosynthesis. </w:t>
      </w:r>
      <w:r w:rsidRPr="000F1EA3">
        <w:rPr>
          <w:rFonts w:cs="Times"/>
          <w:i/>
          <w:iCs/>
          <w:noProof/>
          <w:szCs w:val="24"/>
        </w:rPr>
        <w:t>J. Plant Physiol.</w:t>
      </w:r>
      <w:r w:rsidRPr="000F1EA3">
        <w:rPr>
          <w:rFonts w:cs="Times"/>
          <w:noProof/>
          <w:szCs w:val="24"/>
        </w:rPr>
        <w:t xml:space="preserve"> </w:t>
      </w:r>
      <w:r w:rsidRPr="000F1EA3">
        <w:rPr>
          <w:rFonts w:cs="Times"/>
          <w:b/>
          <w:bCs/>
          <w:noProof/>
          <w:szCs w:val="24"/>
        </w:rPr>
        <w:t>1993</w:t>
      </w:r>
      <w:r w:rsidRPr="000F1EA3">
        <w:rPr>
          <w:rFonts w:cs="Times"/>
          <w:noProof/>
          <w:szCs w:val="24"/>
        </w:rPr>
        <w:t xml:space="preserve">, </w:t>
      </w:r>
      <w:r w:rsidRPr="000F1EA3">
        <w:rPr>
          <w:rFonts w:cs="Times"/>
          <w:i/>
          <w:iCs/>
          <w:noProof/>
          <w:szCs w:val="24"/>
        </w:rPr>
        <w:t>142</w:t>
      </w:r>
      <w:r w:rsidRPr="000F1EA3">
        <w:rPr>
          <w:rFonts w:cs="Times"/>
          <w:noProof/>
          <w:szCs w:val="24"/>
        </w:rPr>
        <w:t>, 135–143.</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63</w:t>
      </w:r>
      <w:r w:rsidRPr="000F1EA3">
        <w:rPr>
          <w:rFonts w:cs="Times"/>
          <w:noProof/>
          <w:szCs w:val="24"/>
        </w:rPr>
        <w:t xml:space="preserve">) </w:t>
      </w:r>
      <w:r w:rsidRPr="000F1EA3">
        <w:rPr>
          <w:rFonts w:cs="Times"/>
          <w:noProof/>
          <w:szCs w:val="24"/>
        </w:rPr>
        <w:tab/>
        <w:t xml:space="preserve">Dai, Y.; Rozema, E.; Verpoorte, R.; Choi, Y. H. Application of natural deep eutectic solvents to the extraction of anthocyanins from Catharanthus roseus with high extractability and stability replacing conventional organic solvents. </w:t>
      </w:r>
      <w:r w:rsidRPr="000F1EA3">
        <w:rPr>
          <w:rFonts w:cs="Times"/>
          <w:i/>
          <w:iCs/>
          <w:noProof/>
          <w:szCs w:val="24"/>
        </w:rPr>
        <w:t>J. Chromatogr. A</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1434</w:t>
      </w:r>
      <w:r w:rsidRPr="000F1EA3">
        <w:rPr>
          <w:rFonts w:cs="Times"/>
          <w:noProof/>
          <w:szCs w:val="24"/>
        </w:rPr>
        <w:t>, 50–56.</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64</w:t>
      </w:r>
      <w:r w:rsidRPr="000F1EA3">
        <w:rPr>
          <w:rFonts w:cs="Times"/>
          <w:noProof/>
          <w:szCs w:val="24"/>
        </w:rPr>
        <w:t xml:space="preserve">) </w:t>
      </w:r>
      <w:r w:rsidRPr="000F1EA3">
        <w:rPr>
          <w:rFonts w:cs="Times"/>
          <w:noProof/>
          <w:szCs w:val="24"/>
        </w:rPr>
        <w:tab/>
        <w:t xml:space="preserve">Cvjetko Bubalo, M.; Ćurko, N.; Tomašević, M.; Kovačević Ganić, K.; Radojčić Redovniković, I. Green extraction of grape skin phenolics by using deep eutectic solvents. </w:t>
      </w:r>
      <w:r w:rsidRPr="000F1EA3">
        <w:rPr>
          <w:rFonts w:cs="Times"/>
          <w:i/>
          <w:iCs/>
          <w:noProof/>
          <w:szCs w:val="24"/>
        </w:rPr>
        <w:t>Food Chem.</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200</w:t>
      </w:r>
      <w:r w:rsidRPr="000F1EA3">
        <w:rPr>
          <w:rFonts w:cs="Times"/>
          <w:noProof/>
          <w:szCs w:val="24"/>
        </w:rPr>
        <w:t>, 159–166.</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65</w:t>
      </w:r>
      <w:r w:rsidRPr="000F1EA3">
        <w:rPr>
          <w:rFonts w:cs="Times"/>
          <w:noProof/>
          <w:szCs w:val="24"/>
        </w:rPr>
        <w:t xml:space="preserve">) </w:t>
      </w:r>
      <w:r w:rsidRPr="000F1EA3">
        <w:rPr>
          <w:rFonts w:cs="Times"/>
          <w:noProof/>
          <w:szCs w:val="24"/>
        </w:rPr>
        <w:tab/>
        <w:t>Wahlström, R.; Kuutti, L.; Hiltunen, J.; Vuoti, S.; Ercili-Cura, D.; Rommi, K. Process for Separating Proteins from Biomass Materials. Teknologian tutkimuskeskus VTT Oy, WO Pat., 2017089655A1, 2017.</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66</w:t>
      </w:r>
      <w:r w:rsidRPr="000F1EA3">
        <w:rPr>
          <w:rFonts w:cs="Times"/>
          <w:noProof/>
          <w:szCs w:val="24"/>
        </w:rPr>
        <w:t xml:space="preserve">) </w:t>
      </w:r>
      <w:r w:rsidRPr="000F1EA3">
        <w:rPr>
          <w:rFonts w:cs="Times"/>
          <w:noProof/>
          <w:szCs w:val="24"/>
        </w:rPr>
        <w:tab/>
        <w:t xml:space="preserve">Perera, S.; McIntosh, T.; Wanasundara, J. Structural properties of cruciferin and napin of Brassica napus (canola) show distinct responses to changes in pH and temperature. </w:t>
      </w:r>
      <w:r w:rsidRPr="000F1EA3">
        <w:rPr>
          <w:rFonts w:cs="Times"/>
          <w:i/>
          <w:iCs/>
          <w:noProof/>
          <w:szCs w:val="24"/>
        </w:rPr>
        <w:t>Plants</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5</w:t>
      </w:r>
      <w:r w:rsidRPr="000F1EA3">
        <w:rPr>
          <w:rFonts w:cs="Times"/>
          <w:noProof/>
          <w:szCs w:val="24"/>
        </w:rPr>
        <w:t>, DOI: 10.3390/plants5030036.</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67</w:t>
      </w:r>
      <w:r w:rsidRPr="000F1EA3">
        <w:rPr>
          <w:rFonts w:cs="Times"/>
          <w:noProof/>
          <w:szCs w:val="24"/>
        </w:rPr>
        <w:t xml:space="preserve">) </w:t>
      </w:r>
      <w:r w:rsidRPr="000F1EA3">
        <w:rPr>
          <w:rFonts w:cs="Times"/>
          <w:noProof/>
          <w:szCs w:val="24"/>
        </w:rPr>
        <w:tab/>
        <w:t xml:space="preserve">Gerzhova, A.; Mondor, M.; Benali, M.; Aider, M. Study of total dry matter and protein extraction from canola meal as affected by the pH, salt addition and use of zeta-potential/turbidimetry analysis to optimize the extraction conditions. </w:t>
      </w:r>
      <w:r w:rsidRPr="000F1EA3">
        <w:rPr>
          <w:rFonts w:cs="Times"/>
          <w:i/>
          <w:iCs/>
          <w:noProof/>
          <w:szCs w:val="24"/>
        </w:rPr>
        <w:t>Food Chem.</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201</w:t>
      </w:r>
      <w:r w:rsidRPr="000F1EA3">
        <w:rPr>
          <w:rFonts w:cs="Times"/>
          <w:noProof/>
          <w:szCs w:val="24"/>
        </w:rPr>
        <w:t>, 243–252.</w:t>
      </w:r>
    </w:p>
    <w:p w:rsidR="00B366F3" w:rsidRPr="000F1EA3" w:rsidRDefault="00B366F3" w:rsidP="0009066B">
      <w:pPr>
        <w:pStyle w:val="TFReferencesSection"/>
        <w:rPr>
          <w:rFonts w:cs="Times"/>
          <w:noProof/>
          <w:szCs w:val="24"/>
        </w:rPr>
      </w:pPr>
      <w:r w:rsidRPr="000F1EA3">
        <w:rPr>
          <w:rFonts w:cs="Times"/>
          <w:noProof/>
          <w:szCs w:val="24"/>
        </w:rPr>
        <w:lastRenderedPageBreak/>
        <w:t>(</w:t>
      </w:r>
      <w:r w:rsidR="00C403F7" w:rsidRPr="000F1EA3">
        <w:rPr>
          <w:rFonts w:cs="Times"/>
          <w:noProof/>
          <w:szCs w:val="24"/>
        </w:rPr>
        <w:t>68</w:t>
      </w:r>
      <w:r w:rsidRPr="000F1EA3">
        <w:rPr>
          <w:rFonts w:cs="Times"/>
          <w:noProof/>
          <w:szCs w:val="24"/>
        </w:rPr>
        <w:t xml:space="preserve">) </w:t>
      </w:r>
      <w:r w:rsidRPr="000F1EA3">
        <w:rPr>
          <w:rFonts w:cs="Times"/>
          <w:noProof/>
          <w:szCs w:val="24"/>
        </w:rPr>
        <w:tab/>
        <w:t xml:space="preserve">Akbari, A.; Wu, J. An integrated method of isolating napin and cruciferin from defatted canola meal. </w:t>
      </w:r>
      <w:r w:rsidRPr="000F1EA3">
        <w:rPr>
          <w:rFonts w:cs="Times"/>
          <w:i/>
          <w:iCs/>
          <w:noProof/>
          <w:szCs w:val="24"/>
        </w:rPr>
        <w:t>LWT - Food Sci. Technol.</w:t>
      </w:r>
      <w:r w:rsidRPr="000F1EA3">
        <w:rPr>
          <w:rFonts w:cs="Times"/>
          <w:noProof/>
          <w:szCs w:val="24"/>
        </w:rPr>
        <w:t xml:space="preserve"> </w:t>
      </w:r>
      <w:r w:rsidRPr="000F1EA3">
        <w:rPr>
          <w:rFonts w:cs="Times"/>
          <w:b/>
          <w:bCs/>
          <w:noProof/>
          <w:szCs w:val="24"/>
        </w:rPr>
        <w:t>2015</w:t>
      </w:r>
      <w:r w:rsidRPr="000F1EA3">
        <w:rPr>
          <w:rFonts w:cs="Times"/>
          <w:noProof/>
          <w:szCs w:val="24"/>
        </w:rPr>
        <w:t xml:space="preserve">, </w:t>
      </w:r>
      <w:r w:rsidRPr="000F1EA3">
        <w:rPr>
          <w:rFonts w:cs="Times"/>
          <w:i/>
          <w:iCs/>
          <w:noProof/>
          <w:szCs w:val="24"/>
        </w:rPr>
        <w:t>64</w:t>
      </w:r>
      <w:r w:rsidRPr="000F1EA3">
        <w:rPr>
          <w:rFonts w:cs="Times"/>
          <w:noProof/>
          <w:szCs w:val="24"/>
        </w:rPr>
        <w:t>, 308–315.</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69</w:t>
      </w:r>
      <w:r w:rsidRPr="000F1EA3">
        <w:rPr>
          <w:rFonts w:cs="Times"/>
          <w:noProof/>
          <w:szCs w:val="24"/>
        </w:rPr>
        <w:t xml:space="preserve">) </w:t>
      </w:r>
      <w:r w:rsidRPr="000F1EA3">
        <w:rPr>
          <w:rFonts w:cs="Times"/>
          <w:noProof/>
          <w:szCs w:val="24"/>
        </w:rPr>
        <w:tab/>
        <w:t xml:space="preserve">Schmidt, I.; Renard, D.; Rondeau, D.; Richomme, P.; Popineau, Y.; Axelos, M. A. V. Detailed physicochemical characterization of the 2S storage protein from rape (Brassica napus L.). </w:t>
      </w:r>
      <w:r w:rsidRPr="000F1EA3">
        <w:rPr>
          <w:rFonts w:cs="Times"/>
          <w:i/>
          <w:iCs/>
          <w:noProof/>
          <w:szCs w:val="24"/>
        </w:rPr>
        <w:t>J. Agric. Food Chem.</w:t>
      </w:r>
      <w:r w:rsidRPr="000F1EA3">
        <w:rPr>
          <w:rFonts w:cs="Times"/>
          <w:noProof/>
          <w:szCs w:val="24"/>
        </w:rPr>
        <w:t xml:space="preserve"> </w:t>
      </w:r>
      <w:r w:rsidRPr="000F1EA3">
        <w:rPr>
          <w:rFonts w:cs="Times"/>
          <w:b/>
          <w:bCs/>
          <w:noProof/>
          <w:szCs w:val="24"/>
        </w:rPr>
        <w:t>2004</w:t>
      </w:r>
      <w:r w:rsidRPr="000F1EA3">
        <w:rPr>
          <w:rFonts w:cs="Times"/>
          <w:noProof/>
          <w:szCs w:val="24"/>
        </w:rPr>
        <w:t xml:space="preserve">, </w:t>
      </w:r>
      <w:r w:rsidRPr="000F1EA3">
        <w:rPr>
          <w:rFonts w:cs="Times"/>
          <w:i/>
          <w:iCs/>
          <w:noProof/>
          <w:szCs w:val="24"/>
        </w:rPr>
        <w:t>52</w:t>
      </w:r>
      <w:r w:rsidRPr="000F1EA3">
        <w:rPr>
          <w:rFonts w:cs="Times"/>
          <w:noProof/>
          <w:szCs w:val="24"/>
        </w:rPr>
        <w:t>, 5995–6001.</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70</w:t>
      </w:r>
      <w:r w:rsidRPr="000F1EA3">
        <w:rPr>
          <w:rFonts w:cs="Times"/>
          <w:noProof/>
          <w:szCs w:val="24"/>
        </w:rPr>
        <w:t xml:space="preserve">) </w:t>
      </w:r>
      <w:r w:rsidRPr="000F1EA3">
        <w:rPr>
          <w:rFonts w:cs="Times"/>
          <w:noProof/>
          <w:szCs w:val="24"/>
        </w:rPr>
        <w:tab/>
        <w:t xml:space="preserve">Barth, A. Infrared spectroscopy of proteins. </w:t>
      </w:r>
      <w:r w:rsidRPr="000F1EA3">
        <w:rPr>
          <w:rFonts w:cs="Times"/>
          <w:i/>
          <w:iCs/>
          <w:noProof/>
          <w:szCs w:val="24"/>
        </w:rPr>
        <w:t>Biochim. Biophys. Acta - Bioenerg.</w:t>
      </w:r>
      <w:r w:rsidRPr="000F1EA3">
        <w:rPr>
          <w:rFonts w:cs="Times"/>
          <w:noProof/>
          <w:szCs w:val="24"/>
        </w:rPr>
        <w:t xml:space="preserve"> </w:t>
      </w:r>
      <w:r w:rsidRPr="000F1EA3">
        <w:rPr>
          <w:rFonts w:cs="Times"/>
          <w:b/>
          <w:bCs/>
          <w:noProof/>
          <w:szCs w:val="24"/>
        </w:rPr>
        <w:t>2007</w:t>
      </w:r>
      <w:r w:rsidRPr="000F1EA3">
        <w:rPr>
          <w:rFonts w:cs="Times"/>
          <w:noProof/>
          <w:szCs w:val="24"/>
        </w:rPr>
        <w:t xml:space="preserve">, </w:t>
      </w:r>
      <w:r w:rsidRPr="000F1EA3">
        <w:rPr>
          <w:rFonts w:cs="Times"/>
          <w:i/>
          <w:iCs/>
          <w:noProof/>
          <w:szCs w:val="24"/>
        </w:rPr>
        <w:t>1767</w:t>
      </w:r>
      <w:r w:rsidRPr="000F1EA3">
        <w:rPr>
          <w:rFonts w:cs="Times"/>
          <w:noProof/>
          <w:szCs w:val="24"/>
        </w:rPr>
        <w:t>, 1073–1101.</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71</w:t>
      </w:r>
      <w:r w:rsidRPr="000F1EA3">
        <w:rPr>
          <w:rFonts w:cs="Times"/>
          <w:noProof/>
          <w:szCs w:val="24"/>
        </w:rPr>
        <w:t xml:space="preserve">) </w:t>
      </w:r>
      <w:r w:rsidRPr="000F1EA3">
        <w:rPr>
          <w:rFonts w:cs="Times"/>
          <w:noProof/>
          <w:szCs w:val="24"/>
        </w:rPr>
        <w:tab/>
        <w:t xml:space="preserve">Glassford, S. E.; Byrne, B.; Kazarian, S. G. Recent applications of ATR FTIR spectroscopy and imaging to proteins. </w:t>
      </w:r>
      <w:r w:rsidRPr="000F1EA3">
        <w:rPr>
          <w:rFonts w:cs="Times"/>
          <w:i/>
          <w:iCs/>
          <w:noProof/>
          <w:szCs w:val="24"/>
        </w:rPr>
        <w:t>Biochim. Biophys. Acta, Proteins Proteomics</w:t>
      </w:r>
      <w:r w:rsidRPr="000F1EA3">
        <w:rPr>
          <w:rFonts w:cs="Times"/>
          <w:noProof/>
          <w:szCs w:val="24"/>
        </w:rPr>
        <w:t xml:space="preserve"> </w:t>
      </w:r>
      <w:r w:rsidRPr="000F1EA3">
        <w:rPr>
          <w:rFonts w:cs="Times"/>
          <w:b/>
          <w:bCs/>
          <w:noProof/>
          <w:szCs w:val="24"/>
        </w:rPr>
        <w:t>2013</w:t>
      </w:r>
      <w:r w:rsidRPr="000F1EA3">
        <w:rPr>
          <w:rFonts w:cs="Times"/>
          <w:noProof/>
          <w:szCs w:val="24"/>
        </w:rPr>
        <w:t xml:space="preserve">, </w:t>
      </w:r>
      <w:r w:rsidRPr="000F1EA3">
        <w:rPr>
          <w:rFonts w:cs="Times"/>
          <w:i/>
          <w:iCs/>
          <w:noProof/>
          <w:szCs w:val="24"/>
        </w:rPr>
        <w:t>1834</w:t>
      </w:r>
      <w:r w:rsidRPr="000F1EA3">
        <w:rPr>
          <w:rFonts w:cs="Times"/>
          <w:noProof/>
          <w:szCs w:val="24"/>
        </w:rPr>
        <w:t>, 2849–2858.</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72</w:t>
      </w:r>
      <w:r w:rsidRPr="000F1EA3">
        <w:rPr>
          <w:rFonts w:cs="Times"/>
          <w:noProof/>
          <w:szCs w:val="24"/>
        </w:rPr>
        <w:t xml:space="preserve">) </w:t>
      </w:r>
      <w:r w:rsidRPr="000F1EA3">
        <w:rPr>
          <w:rFonts w:cs="Times"/>
          <w:noProof/>
          <w:szCs w:val="24"/>
        </w:rPr>
        <w:tab/>
        <w:t xml:space="preserve">Tejado, A.; Peña, C.; Labidi, J.; Echeverria, J. M.; Mondragon, I. Physico-chemical characterization of lignins from different sources for use in phenol-formaldehyde resin synthesis. </w:t>
      </w:r>
      <w:r w:rsidRPr="000F1EA3">
        <w:rPr>
          <w:rFonts w:cs="Times"/>
          <w:i/>
          <w:iCs/>
          <w:noProof/>
          <w:szCs w:val="24"/>
        </w:rPr>
        <w:t>Bioresour. Technol.</w:t>
      </w:r>
      <w:r w:rsidRPr="000F1EA3">
        <w:rPr>
          <w:rFonts w:cs="Times"/>
          <w:noProof/>
          <w:szCs w:val="24"/>
        </w:rPr>
        <w:t xml:space="preserve"> </w:t>
      </w:r>
      <w:r w:rsidRPr="000F1EA3">
        <w:rPr>
          <w:rFonts w:cs="Times"/>
          <w:b/>
          <w:bCs/>
          <w:noProof/>
          <w:szCs w:val="24"/>
        </w:rPr>
        <w:t>2007</w:t>
      </w:r>
      <w:r w:rsidRPr="000F1EA3">
        <w:rPr>
          <w:rFonts w:cs="Times"/>
          <w:noProof/>
          <w:szCs w:val="24"/>
        </w:rPr>
        <w:t xml:space="preserve">, </w:t>
      </w:r>
      <w:r w:rsidRPr="000F1EA3">
        <w:rPr>
          <w:rFonts w:cs="Times"/>
          <w:i/>
          <w:iCs/>
          <w:noProof/>
          <w:szCs w:val="24"/>
        </w:rPr>
        <w:t>98</w:t>
      </w:r>
      <w:r w:rsidRPr="000F1EA3">
        <w:rPr>
          <w:rFonts w:cs="Times"/>
          <w:noProof/>
          <w:szCs w:val="24"/>
        </w:rPr>
        <w:t>, 1655–1663.</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73</w:t>
      </w:r>
      <w:r w:rsidRPr="000F1EA3">
        <w:rPr>
          <w:rFonts w:cs="Times"/>
          <w:noProof/>
          <w:szCs w:val="24"/>
        </w:rPr>
        <w:t xml:space="preserve">) </w:t>
      </w:r>
      <w:r w:rsidRPr="000F1EA3">
        <w:rPr>
          <w:rFonts w:cs="Times"/>
          <w:noProof/>
          <w:szCs w:val="24"/>
        </w:rPr>
        <w:tab/>
        <w:t xml:space="preserve">Pandey, K. K. A study of chemical structure of soft and hardwood and wood polymers by FTIR spectroscopy. </w:t>
      </w:r>
      <w:r w:rsidRPr="000F1EA3">
        <w:rPr>
          <w:rFonts w:cs="Times"/>
          <w:i/>
          <w:iCs/>
          <w:noProof/>
          <w:szCs w:val="24"/>
        </w:rPr>
        <w:t>J. Appl. Polym. Sci.</w:t>
      </w:r>
      <w:r w:rsidRPr="000F1EA3">
        <w:rPr>
          <w:rFonts w:cs="Times"/>
          <w:noProof/>
          <w:szCs w:val="24"/>
        </w:rPr>
        <w:t xml:space="preserve"> </w:t>
      </w:r>
      <w:r w:rsidRPr="000F1EA3">
        <w:rPr>
          <w:rFonts w:cs="Times"/>
          <w:b/>
          <w:bCs/>
          <w:noProof/>
          <w:szCs w:val="24"/>
        </w:rPr>
        <w:t>1999</w:t>
      </w:r>
      <w:r w:rsidRPr="000F1EA3">
        <w:rPr>
          <w:rFonts w:cs="Times"/>
          <w:noProof/>
          <w:szCs w:val="24"/>
        </w:rPr>
        <w:t xml:space="preserve">, </w:t>
      </w:r>
      <w:r w:rsidRPr="000F1EA3">
        <w:rPr>
          <w:rFonts w:cs="Times"/>
          <w:i/>
          <w:iCs/>
          <w:noProof/>
          <w:szCs w:val="24"/>
        </w:rPr>
        <w:t>71</w:t>
      </w:r>
      <w:r w:rsidRPr="000F1EA3">
        <w:rPr>
          <w:rFonts w:cs="Times"/>
          <w:noProof/>
          <w:szCs w:val="24"/>
        </w:rPr>
        <w:t>, 1969–1975.</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74</w:t>
      </w:r>
      <w:r w:rsidRPr="000F1EA3">
        <w:rPr>
          <w:rFonts w:cs="Times"/>
          <w:noProof/>
          <w:szCs w:val="24"/>
        </w:rPr>
        <w:t xml:space="preserve">) </w:t>
      </w:r>
      <w:r w:rsidRPr="000F1EA3">
        <w:rPr>
          <w:rFonts w:cs="Times"/>
          <w:noProof/>
          <w:szCs w:val="24"/>
        </w:rPr>
        <w:tab/>
        <w:t xml:space="preserve">Abidi, N.; Cabrales, L.; Haigler, C. H. Changes in the cell wall and cellulose content of developing cotton fibers investigated by FTIR spectroscopy. </w:t>
      </w:r>
      <w:r w:rsidRPr="000F1EA3">
        <w:rPr>
          <w:rFonts w:cs="Times"/>
          <w:i/>
          <w:iCs/>
          <w:noProof/>
          <w:szCs w:val="24"/>
        </w:rPr>
        <w:t>Carbohydr. Polym.</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100</w:t>
      </w:r>
      <w:r w:rsidRPr="000F1EA3">
        <w:rPr>
          <w:rFonts w:cs="Times"/>
          <w:noProof/>
          <w:szCs w:val="24"/>
        </w:rPr>
        <w:t>, 9–16.</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75</w:t>
      </w:r>
      <w:r w:rsidRPr="000F1EA3">
        <w:rPr>
          <w:rFonts w:cs="Times"/>
          <w:noProof/>
          <w:szCs w:val="24"/>
        </w:rPr>
        <w:t xml:space="preserve">) </w:t>
      </w:r>
      <w:r w:rsidRPr="000F1EA3">
        <w:rPr>
          <w:rFonts w:cs="Times"/>
          <w:noProof/>
          <w:szCs w:val="24"/>
        </w:rPr>
        <w:tab/>
        <w:t xml:space="preserve">Toledano, A.; Serrano, L.; Garcia, A.; Mondragon, I.; Labidi, J. Comparative study of lignin fractionation by ultrafiltration and selective precipitation. </w:t>
      </w:r>
      <w:r w:rsidRPr="000F1EA3">
        <w:rPr>
          <w:rFonts w:cs="Times"/>
          <w:i/>
          <w:iCs/>
          <w:noProof/>
          <w:szCs w:val="24"/>
        </w:rPr>
        <w:t>Chem. Eng. J.</w:t>
      </w:r>
      <w:r w:rsidRPr="000F1EA3">
        <w:rPr>
          <w:rFonts w:cs="Times"/>
          <w:noProof/>
          <w:szCs w:val="24"/>
        </w:rPr>
        <w:t xml:space="preserve"> </w:t>
      </w:r>
      <w:r w:rsidRPr="000F1EA3">
        <w:rPr>
          <w:rFonts w:cs="Times"/>
          <w:b/>
          <w:bCs/>
          <w:noProof/>
          <w:szCs w:val="24"/>
        </w:rPr>
        <w:t>2010</w:t>
      </w:r>
      <w:r w:rsidRPr="000F1EA3">
        <w:rPr>
          <w:rFonts w:cs="Times"/>
          <w:noProof/>
          <w:szCs w:val="24"/>
        </w:rPr>
        <w:t xml:space="preserve">, </w:t>
      </w:r>
      <w:r w:rsidRPr="000F1EA3">
        <w:rPr>
          <w:rFonts w:cs="Times"/>
          <w:i/>
          <w:iCs/>
          <w:noProof/>
          <w:szCs w:val="24"/>
        </w:rPr>
        <w:t>157</w:t>
      </w:r>
      <w:r w:rsidRPr="000F1EA3">
        <w:rPr>
          <w:rFonts w:cs="Times"/>
          <w:noProof/>
          <w:szCs w:val="24"/>
        </w:rPr>
        <w:t>, 93–99.</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76</w:t>
      </w:r>
      <w:r w:rsidRPr="000F1EA3">
        <w:rPr>
          <w:rFonts w:cs="Times"/>
          <w:noProof/>
          <w:szCs w:val="24"/>
        </w:rPr>
        <w:t xml:space="preserve">) </w:t>
      </w:r>
      <w:r w:rsidRPr="000F1EA3">
        <w:rPr>
          <w:rFonts w:cs="Times"/>
          <w:noProof/>
          <w:szCs w:val="24"/>
        </w:rPr>
        <w:tab/>
        <w:t xml:space="preserve">Gasson, J. R.; Forchheim, D.; Sutter, T.; Hornung, U.; Kruse, A.; Barth, T. Modeling the lignin degradation kinetics in a ethanol/formic acid solvolysis approach. Part 1. Kinetic model development. </w:t>
      </w:r>
      <w:r w:rsidRPr="000F1EA3">
        <w:rPr>
          <w:rFonts w:cs="Times"/>
          <w:i/>
          <w:iCs/>
          <w:noProof/>
          <w:szCs w:val="24"/>
        </w:rPr>
        <w:t>Ind. Eng. Chem. Res</w:t>
      </w:r>
      <w:r w:rsidRPr="000F1EA3">
        <w:rPr>
          <w:rFonts w:cs="Times"/>
          <w:noProof/>
          <w:szCs w:val="24"/>
        </w:rPr>
        <w:t xml:space="preserve"> </w:t>
      </w:r>
      <w:r w:rsidRPr="000F1EA3">
        <w:rPr>
          <w:rFonts w:cs="Times"/>
          <w:b/>
          <w:bCs/>
          <w:noProof/>
          <w:szCs w:val="24"/>
        </w:rPr>
        <w:t>2012</w:t>
      </w:r>
      <w:r w:rsidRPr="000F1EA3">
        <w:rPr>
          <w:rFonts w:cs="Times"/>
          <w:noProof/>
          <w:szCs w:val="24"/>
        </w:rPr>
        <w:t xml:space="preserve">, </w:t>
      </w:r>
      <w:r w:rsidRPr="000F1EA3">
        <w:rPr>
          <w:rFonts w:cs="Times"/>
          <w:i/>
          <w:iCs/>
          <w:noProof/>
          <w:szCs w:val="24"/>
        </w:rPr>
        <w:t>51</w:t>
      </w:r>
      <w:r w:rsidRPr="000F1EA3">
        <w:rPr>
          <w:rFonts w:cs="Times"/>
          <w:noProof/>
          <w:szCs w:val="24"/>
        </w:rPr>
        <w:t>, 10595–10606.</w:t>
      </w:r>
    </w:p>
    <w:p w:rsidR="00B366F3" w:rsidRPr="000F1EA3" w:rsidRDefault="00B366F3" w:rsidP="0009066B">
      <w:pPr>
        <w:pStyle w:val="TFReferencesSection"/>
        <w:rPr>
          <w:rFonts w:cs="Times"/>
          <w:noProof/>
          <w:szCs w:val="24"/>
        </w:rPr>
      </w:pPr>
      <w:r w:rsidRPr="000F1EA3">
        <w:rPr>
          <w:rFonts w:cs="Times"/>
          <w:noProof/>
          <w:szCs w:val="24"/>
        </w:rPr>
        <w:lastRenderedPageBreak/>
        <w:t>(</w:t>
      </w:r>
      <w:r w:rsidR="00C403F7" w:rsidRPr="000F1EA3">
        <w:rPr>
          <w:rFonts w:cs="Times"/>
          <w:noProof/>
          <w:szCs w:val="24"/>
        </w:rPr>
        <w:t>77</w:t>
      </w:r>
      <w:r w:rsidRPr="000F1EA3">
        <w:rPr>
          <w:rFonts w:cs="Times"/>
          <w:noProof/>
          <w:szCs w:val="24"/>
        </w:rPr>
        <w:t xml:space="preserve">) </w:t>
      </w:r>
      <w:r w:rsidRPr="000F1EA3">
        <w:rPr>
          <w:rFonts w:cs="Times"/>
          <w:noProof/>
          <w:szCs w:val="24"/>
        </w:rPr>
        <w:tab/>
        <w:t xml:space="preserve">Wang, C.; Wu, J.; Bernard, G. M. Preparation and characterization of canola protein isolate-poly(glycidyl methacrylate) conjugates: </w:t>
      </w:r>
      <w:r w:rsidR="00CD44D3" w:rsidRPr="000F1EA3">
        <w:rPr>
          <w:rFonts w:cs="Times"/>
          <w:noProof/>
          <w:szCs w:val="24"/>
        </w:rPr>
        <w:t>a</w:t>
      </w:r>
      <w:r w:rsidRPr="000F1EA3">
        <w:rPr>
          <w:rFonts w:cs="Times"/>
          <w:noProof/>
          <w:szCs w:val="24"/>
        </w:rPr>
        <w:t xml:space="preserve"> bio-based adhesive. </w:t>
      </w:r>
      <w:r w:rsidRPr="000F1EA3">
        <w:rPr>
          <w:rFonts w:cs="Times"/>
          <w:i/>
          <w:iCs/>
          <w:noProof/>
          <w:szCs w:val="24"/>
        </w:rPr>
        <w:t>Ind. Crops Prod.</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57</w:t>
      </w:r>
      <w:r w:rsidRPr="000F1EA3">
        <w:rPr>
          <w:rFonts w:cs="Times"/>
          <w:noProof/>
          <w:szCs w:val="24"/>
        </w:rPr>
        <w:t>, 124–131.</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78</w:t>
      </w:r>
      <w:r w:rsidRPr="000F1EA3">
        <w:rPr>
          <w:rFonts w:cs="Times"/>
          <w:noProof/>
          <w:szCs w:val="24"/>
        </w:rPr>
        <w:t xml:space="preserve">) </w:t>
      </w:r>
      <w:r w:rsidRPr="000F1EA3">
        <w:rPr>
          <w:rFonts w:cs="Times"/>
          <w:noProof/>
          <w:szCs w:val="24"/>
        </w:rPr>
        <w:tab/>
        <w:t>Collard, F. X.; Blin, J. A review on pyro</w:t>
      </w:r>
      <w:r w:rsidR="00CD44D3" w:rsidRPr="000F1EA3">
        <w:rPr>
          <w:rFonts w:cs="Times"/>
          <w:noProof/>
          <w:szCs w:val="24"/>
        </w:rPr>
        <w:t>lysis of biomass constituents: m</w:t>
      </w:r>
      <w:r w:rsidRPr="000F1EA3">
        <w:rPr>
          <w:rFonts w:cs="Times"/>
          <w:noProof/>
          <w:szCs w:val="24"/>
        </w:rPr>
        <w:t xml:space="preserve">echanisms and composition of the products obtained from the conversion of cellulose, hemicelluloses and lignin. </w:t>
      </w:r>
      <w:r w:rsidRPr="000F1EA3">
        <w:rPr>
          <w:rFonts w:cs="Times"/>
          <w:i/>
          <w:iCs/>
          <w:noProof/>
          <w:szCs w:val="24"/>
        </w:rPr>
        <w:t>Renew. Sustain. Energy Rev.</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38</w:t>
      </w:r>
      <w:r w:rsidRPr="000F1EA3">
        <w:rPr>
          <w:rFonts w:cs="Times"/>
          <w:noProof/>
          <w:szCs w:val="24"/>
        </w:rPr>
        <w:t>, 594–608.</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79</w:t>
      </w:r>
      <w:r w:rsidRPr="000F1EA3">
        <w:rPr>
          <w:rFonts w:cs="Times"/>
          <w:noProof/>
          <w:szCs w:val="24"/>
        </w:rPr>
        <w:t xml:space="preserve">) </w:t>
      </w:r>
      <w:r w:rsidRPr="000F1EA3">
        <w:rPr>
          <w:rFonts w:cs="Times"/>
          <w:noProof/>
          <w:szCs w:val="24"/>
        </w:rPr>
        <w:tab/>
        <w:t xml:space="preserve">Stefanidis, S. D.; Kalogiannis, K. G.; Iliopoulou, E. F.; Michailof, C. M.; Pilavachi, P. A.; Lappas, A. A. A study of lignocellulosic biomass pyrolysis via the pyrolysis of cellulose, hemicellulose and lignin. </w:t>
      </w:r>
      <w:r w:rsidRPr="000F1EA3">
        <w:rPr>
          <w:rFonts w:cs="Times"/>
          <w:i/>
          <w:iCs/>
          <w:noProof/>
          <w:szCs w:val="24"/>
        </w:rPr>
        <w:t>J. Anal. Appl. Pyrolysis</w:t>
      </w:r>
      <w:r w:rsidRPr="000F1EA3">
        <w:rPr>
          <w:rFonts w:cs="Times"/>
          <w:noProof/>
          <w:szCs w:val="24"/>
        </w:rPr>
        <w:t xml:space="preserve"> </w:t>
      </w:r>
      <w:r w:rsidRPr="000F1EA3">
        <w:rPr>
          <w:rFonts w:cs="Times"/>
          <w:b/>
          <w:bCs/>
          <w:noProof/>
          <w:szCs w:val="24"/>
        </w:rPr>
        <w:t>2014</w:t>
      </w:r>
      <w:r w:rsidRPr="000F1EA3">
        <w:rPr>
          <w:rFonts w:cs="Times"/>
          <w:noProof/>
          <w:szCs w:val="24"/>
        </w:rPr>
        <w:t xml:space="preserve">, </w:t>
      </w:r>
      <w:r w:rsidRPr="000F1EA3">
        <w:rPr>
          <w:rFonts w:cs="Times"/>
          <w:i/>
          <w:iCs/>
          <w:noProof/>
          <w:szCs w:val="24"/>
        </w:rPr>
        <w:t>105</w:t>
      </w:r>
      <w:r w:rsidRPr="000F1EA3">
        <w:rPr>
          <w:rFonts w:cs="Times"/>
          <w:noProof/>
          <w:szCs w:val="24"/>
        </w:rPr>
        <w:t>, 143–150.</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80</w:t>
      </w:r>
      <w:r w:rsidRPr="000F1EA3">
        <w:rPr>
          <w:rFonts w:cs="Times"/>
          <w:noProof/>
          <w:szCs w:val="24"/>
        </w:rPr>
        <w:t xml:space="preserve">) </w:t>
      </w:r>
      <w:r w:rsidRPr="000F1EA3">
        <w:rPr>
          <w:rFonts w:cs="Times"/>
          <w:noProof/>
          <w:szCs w:val="24"/>
        </w:rPr>
        <w:tab/>
        <w:t xml:space="preserve">Quan, C.; Gao, N.; Song, Q. Pyrolysis of biomass components in </w:t>
      </w:r>
      <w:r w:rsidR="00CD44D3" w:rsidRPr="000F1EA3">
        <w:rPr>
          <w:rFonts w:cs="Times"/>
          <w:noProof/>
          <w:szCs w:val="24"/>
        </w:rPr>
        <w:t>a TGA and a fixed-bed reactor: t</w:t>
      </w:r>
      <w:r w:rsidRPr="000F1EA3">
        <w:rPr>
          <w:rFonts w:cs="Times"/>
          <w:noProof/>
          <w:szCs w:val="24"/>
        </w:rPr>
        <w:t xml:space="preserve">hermochemical behaviors, kinetics, and product characterization. </w:t>
      </w:r>
      <w:r w:rsidRPr="000F1EA3">
        <w:rPr>
          <w:rFonts w:cs="Times"/>
          <w:i/>
          <w:iCs/>
          <w:noProof/>
          <w:szCs w:val="24"/>
        </w:rPr>
        <w:t>J. Anal. Appl. Pyrolysis</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121</w:t>
      </w:r>
      <w:r w:rsidRPr="000F1EA3">
        <w:rPr>
          <w:rFonts w:cs="Times"/>
          <w:noProof/>
          <w:szCs w:val="24"/>
        </w:rPr>
        <w:t>, 84–92.</w:t>
      </w:r>
    </w:p>
    <w:p w:rsidR="00B366F3" w:rsidRPr="000F1EA3" w:rsidRDefault="00B366F3" w:rsidP="0009066B">
      <w:pPr>
        <w:pStyle w:val="TFReferencesSection"/>
        <w:rPr>
          <w:rFonts w:cs="Times"/>
          <w:noProof/>
          <w:szCs w:val="24"/>
        </w:rPr>
      </w:pPr>
      <w:r w:rsidRPr="000F1EA3">
        <w:rPr>
          <w:rFonts w:cs="Times"/>
          <w:noProof/>
          <w:szCs w:val="24"/>
        </w:rPr>
        <w:t>(</w:t>
      </w:r>
      <w:r w:rsidR="00C403F7" w:rsidRPr="000F1EA3">
        <w:rPr>
          <w:rFonts w:cs="Times"/>
          <w:noProof/>
          <w:szCs w:val="24"/>
        </w:rPr>
        <w:t>81</w:t>
      </w:r>
      <w:r w:rsidRPr="000F1EA3">
        <w:rPr>
          <w:rFonts w:cs="Times"/>
          <w:noProof/>
          <w:szCs w:val="24"/>
        </w:rPr>
        <w:t xml:space="preserve">) </w:t>
      </w:r>
      <w:r w:rsidRPr="000F1EA3">
        <w:rPr>
          <w:rFonts w:cs="Times"/>
          <w:noProof/>
          <w:szCs w:val="24"/>
        </w:rPr>
        <w:tab/>
        <w:t xml:space="preserve">Zhou, S.; Xue, Y.; Sharma, A.; Bai, X. Lignin valorization through thermochemical conversion: </w:t>
      </w:r>
      <w:r w:rsidR="00867F4E" w:rsidRPr="000F1EA3">
        <w:rPr>
          <w:rFonts w:cs="Times"/>
          <w:noProof/>
          <w:szCs w:val="24"/>
        </w:rPr>
        <w:t>c</w:t>
      </w:r>
      <w:r w:rsidRPr="000F1EA3">
        <w:rPr>
          <w:rFonts w:cs="Times"/>
          <w:noProof/>
          <w:szCs w:val="24"/>
        </w:rPr>
        <w:t xml:space="preserve">omparison of hardwood, softwood and herbaceous lignin. </w:t>
      </w:r>
      <w:r w:rsidRPr="000F1EA3">
        <w:rPr>
          <w:rFonts w:cs="Times"/>
          <w:i/>
          <w:iCs/>
          <w:noProof/>
          <w:szCs w:val="24"/>
        </w:rPr>
        <w:t>ACS Sustain. Chem. Eng.</w:t>
      </w:r>
      <w:r w:rsidRPr="000F1EA3">
        <w:rPr>
          <w:rFonts w:cs="Times"/>
          <w:noProof/>
          <w:szCs w:val="24"/>
        </w:rPr>
        <w:t xml:space="preserve"> </w:t>
      </w:r>
      <w:r w:rsidRPr="000F1EA3">
        <w:rPr>
          <w:rFonts w:cs="Times"/>
          <w:b/>
          <w:bCs/>
          <w:noProof/>
          <w:szCs w:val="24"/>
        </w:rPr>
        <w:t>2016</w:t>
      </w:r>
      <w:r w:rsidRPr="000F1EA3">
        <w:rPr>
          <w:rFonts w:cs="Times"/>
          <w:noProof/>
          <w:szCs w:val="24"/>
        </w:rPr>
        <w:t xml:space="preserve">, </w:t>
      </w:r>
      <w:r w:rsidRPr="000F1EA3">
        <w:rPr>
          <w:rFonts w:cs="Times"/>
          <w:i/>
          <w:iCs/>
          <w:noProof/>
          <w:szCs w:val="24"/>
        </w:rPr>
        <w:t>4</w:t>
      </w:r>
      <w:r w:rsidRPr="000F1EA3">
        <w:rPr>
          <w:rFonts w:cs="Times"/>
          <w:noProof/>
          <w:szCs w:val="24"/>
        </w:rPr>
        <w:t>, 6608−6617.</w:t>
      </w:r>
    </w:p>
    <w:p w:rsidR="00B366F3" w:rsidRPr="000F1EA3" w:rsidRDefault="00B366F3" w:rsidP="0009066B">
      <w:pPr>
        <w:pStyle w:val="TFReferencesSection"/>
        <w:rPr>
          <w:rFonts w:cs="Times"/>
          <w:noProof/>
        </w:rPr>
      </w:pPr>
      <w:r w:rsidRPr="000F1EA3">
        <w:rPr>
          <w:rFonts w:cs="Times"/>
          <w:noProof/>
          <w:szCs w:val="24"/>
        </w:rPr>
        <w:t>(</w:t>
      </w:r>
      <w:r w:rsidR="00C403F7" w:rsidRPr="000F1EA3">
        <w:rPr>
          <w:rFonts w:cs="Times"/>
          <w:noProof/>
          <w:szCs w:val="24"/>
        </w:rPr>
        <w:t>82</w:t>
      </w:r>
      <w:r w:rsidRPr="000F1EA3">
        <w:rPr>
          <w:rFonts w:cs="Times"/>
          <w:noProof/>
          <w:szCs w:val="24"/>
        </w:rPr>
        <w:t xml:space="preserve">) </w:t>
      </w:r>
      <w:r w:rsidRPr="000F1EA3">
        <w:rPr>
          <w:rFonts w:cs="Times"/>
          <w:noProof/>
          <w:szCs w:val="24"/>
        </w:rPr>
        <w:tab/>
        <w:t xml:space="preserve">Barone, J. R.; Schmidt, W. F. Nonfood applications of proteinaceous renewable materials. </w:t>
      </w:r>
      <w:r w:rsidRPr="000F1EA3">
        <w:rPr>
          <w:rFonts w:cs="Times"/>
          <w:i/>
          <w:iCs/>
          <w:noProof/>
          <w:szCs w:val="24"/>
        </w:rPr>
        <w:t>J. Chem. Educ.</w:t>
      </w:r>
      <w:r w:rsidRPr="000F1EA3">
        <w:rPr>
          <w:rFonts w:cs="Times"/>
          <w:noProof/>
          <w:szCs w:val="24"/>
        </w:rPr>
        <w:t xml:space="preserve"> </w:t>
      </w:r>
      <w:r w:rsidRPr="000F1EA3">
        <w:rPr>
          <w:rFonts w:cs="Times"/>
          <w:b/>
          <w:bCs/>
          <w:noProof/>
          <w:szCs w:val="24"/>
        </w:rPr>
        <w:t>2006</w:t>
      </w:r>
      <w:r w:rsidRPr="000F1EA3">
        <w:rPr>
          <w:rFonts w:cs="Times"/>
          <w:noProof/>
          <w:szCs w:val="24"/>
        </w:rPr>
        <w:t xml:space="preserve">, </w:t>
      </w:r>
      <w:r w:rsidRPr="000F1EA3">
        <w:rPr>
          <w:rFonts w:cs="Times"/>
          <w:i/>
          <w:iCs/>
          <w:noProof/>
          <w:szCs w:val="24"/>
        </w:rPr>
        <w:t>83</w:t>
      </w:r>
      <w:r w:rsidRPr="000F1EA3">
        <w:rPr>
          <w:rFonts w:cs="Times"/>
          <w:noProof/>
          <w:szCs w:val="24"/>
        </w:rPr>
        <w:t>, 1003–1009.</w:t>
      </w:r>
    </w:p>
    <w:p w:rsidR="008C5F9D" w:rsidRPr="000F1EA3" w:rsidRDefault="00CB05AA" w:rsidP="0009066B">
      <w:pPr>
        <w:pStyle w:val="TFReferencesSection"/>
        <w:sectPr w:rsidR="008C5F9D" w:rsidRPr="000F1EA3" w:rsidSect="00072184">
          <w:pgSz w:w="12240" w:h="15840"/>
          <w:pgMar w:top="1440" w:right="1440" w:bottom="1440" w:left="1440" w:header="0" w:footer="0" w:gutter="0"/>
          <w:cols w:space="475"/>
          <w:docGrid w:linePitch="326"/>
        </w:sectPr>
      </w:pPr>
      <w:r w:rsidRPr="000F1EA3">
        <w:fldChar w:fldCharType="end"/>
      </w:r>
    </w:p>
    <w:p w:rsidR="0065287E" w:rsidRPr="000F1EA3" w:rsidRDefault="0065287E" w:rsidP="00522DD5">
      <w:pPr>
        <w:pStyle w:val="TFReferencesSection"/>
        <w:jc w:val="center"/>
        <w:rPr>
          <w:b/>
        </w:rPr>
      </w:pPr>
      <w:r w:rsidRPr="000F1EA3">
        <w:rPr>
          <w:b/>
        </w:rPr>
        <w:lastRenderedPageBreak/>
        <w:t>For Table of Contents Use Only</w:t>
      </w:r>
    </w:p>
    <w:p w:rsidR="00741FE8" w:rsidRPr="000F1EA3" w:rsidRDefault="00786460" w:rsidP="00786460">
      <w:pPr>
        <w:jc w:val="center"/>
      </w:pPr>
      <w:r w:rsidRPr="000F1EA3">
        <w:rPr>
          <w:noProof/>
          <w:lang w:val="en-GB" w:eastAsia="en-GB" w:bidi="pa-IN"/>
        </w:rPr>
        <w:drawing>
          <wp:inline distT="0" distB="0" distL="0" distR="0">
            <wp:extent cx="3048000" cy="1714500"/>
            <wp:effectExtent l="0" t="0" r="0" b="0"/>
            <wp:docPr id="33" name="Obraz 33" descr="D:\PUBLIKACJE MOJE sony\ACSSC&amp;E\Figs\PO GIMP\TO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UBLIKACJE MOJE sony\ACSSC&amp;E\Figs\PO GIMP\TOC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741FE8" w:rsidRPr="008C5F9D" w:rsidRDefault="00741FE8" w:rsidP="00992957">
      <w:pPr>
        <w:pStyle w:val="SNSynopsisTOC"/>
        <w:spacing w:after="240"/>
        <w:jc w:val="left"/>
        <w:rPr>
          <w:b/>
        </w:rPr>
      </w:pPr>
      <w:r w:rsidRPr="000F1EA3">
        <w:rPr>
          <w:b/>
        </w:rPr>
        <w:t>SYNOPSIS:</w:t>
      </w:r>
      <w:r w:rsidRPr="000F1EA3">
        <w:t xml:space="preserve"> </w:t>
      </w:r>
      <w:r w:rsidR="00AA3EDB" w:rsidRPr="000F1EA3">
        <w:t xml:space="preserve">Green alternative for the extraction of vegetable protein </w:t>
      </w:r>
      <w:r w:rsidR="00AA3EDB" w:rsidRPr="000F1EA3">
        <w:rPr>
          <w:i/>
        </w:rPr>
        <w:t>via</w:t>
      </w:r>
      <w:r w:rsidR="00AA3EDB" w:rsidRPr="000F1EA3">
        <w:t xml:space="preserve"> pretreatment of oilseed cakes (rapeseed an</w:t>
      </w:r>
      <w:r w:rsidR="00AA3EDB" w:rsidRPr="00AA3EDB">
        <w:t>d evening primrose) with DES (</w:t>
      </w:r>
      <w:proofErr w:type="spellStart"/>
      <w:r w:rsidR="00AA3EDB" w:rsidRPr="00AA3EDB">
        <w:t>Glyceline</w:t>
      </w:r>
      <w:proofErr w:type="spellEnd"/>
      <w:r w:rsidR="00AA3EDB" w:rsidRPr="00AA3EDB">
        <w:t>)</w:t>
      </w:r>
    </w:p>
    <w:sectPr w:rsidR="00741FE8" w:rsidRPr="008C5F9D" w:rsidSect="00072184">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74A" w:rsidRDefault="0062074A">
      <w:r>
        <w:separator/>
      </w:r>
    </w:p>
  </w:endnote>
  <w:endnote w:type="continuationSeparator" w:id="0">
    <w:p w:rsidR="0062074A" w:rsidRDefault="00620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AdvOTaa6301a5.B">
    <w:altName w:val="Times New Roman"/>
    <w:panose1 w:val="00000000000000000000"/>
    <w:charset w:val="00"/>
    <w:family w:val="roman"/>
    <w:notTrueType/>
    <w:pitch w:val="default"/>
    <w:sig w:usb0="00000003" w:usb1="00000000" w:usb2="00000000" w:usb3="00000000" w:csb0="00000001"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012" w:rsidRDefault="001600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60012" w:rsidRDefault="001600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012" w:rsidRDefault="001600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1A35">
      <w:rPr>
        <w:rStyle w:val="PageNumber"/>
        <w:noProof/>
      </w:rPr>
      <w:t>20</w:t>
    </w:r>
    <w:r>
      <w:rPr>
        <w:rStyle w:val="PageNumber"/>
      </w:rPr>
      <w:fldChar w:fldCharType="end"/>
    </w:r>
  </w:p>
  <w:p w:rsidR="00160012" w:rsidRDefault="001600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74A" w:rsidRDefault="0062074A">
      <w:r>
        <w:separator/>
      </w:r>
    </w:p>
  </w:footnote>
  <w:footnote w:type="continuationSeparator" w:id="0">
    <w:p w:rsidR="0062074A" w:rsidRDefault="00620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F21"/>
    <w:rsid w:val="000002F2"/>
    <w:rsid w:val="000113E8"/>
    <w:rsid w:val="00014460"/>
    <w:rsid w:val="00021347"/>
    <w:rsid w:val="00021D26"/>
    <w:rsid w:val="00042525"/>
    <w:rsid w:val="00044924"/>
    <w:rsid w:val="000466AB"/>
    <w:rsid w:val="00055558"/>
    <w:rsid w:val="00055DD4"/>
    <w:rsid w:val="0005660F"/>
    <w:rsid w:val="000702AD"/>
    <w:rsid w:val="00072184"/>
    <w:rsid w:val="00085ABB"/>
    <w:rsid w:val="00085BB8"/>
    <w:rsid w:val="0009066B"/>
    <w:rsid w:val="00094DAA"/>
    <w:rsid w:val="000B2EEB"/>
    <w:rsid w:val="000B4E7E"/>
    <w:rsid w:val="000B5610"/>
    <w:rsid w:val="000C05CC"/>
    <w:rsid w:val="000D5296"/>
    <w:rsid w:val="000E4B4E"/>
    <w:rsid w:val="000F1EA3"/>
    <w:rsid w:val="0010609A"/>
    <w:rsid w:val="001102E0"/>
    <w:rsid w:val="00131347"/>
    <w:rsid w:val="00147A07"/>
    <w:rsid w:val="00153217"/>
    <w:rsid w:val="00160012"/>
    <w:rsid w:val="00170734"/>
    <w:rsid w:val="00191B36"/>
    <w:rsid w:val="00195ACA"/>
    <w:rsid w:val="001A1A6C"/>
    <w:rsid w:val="001A7A90"/>
    <w:rsid w:val="001B24F3"/>
    <w:rsid w:val="001C0C63"/>
    <w:rsid w:val="001D6D5C"/>
    <w:rsid w:val="001F5186"/>
    <w:rsid w:val="00212B1D"/>
    <w:rsid w:val="00220407"/>
    <w:rsid w:val="0023380C"/>
    <w:rsid w:val="0023525B"/>
    <w:rsid w:val="00245EF3"/>
    <w:rsid w:val="002643F3"/>
    <w:rsid w:val="00271A02"/>
    <w:rsid w:val="00285138"/>
    <w:rsid w:val="00295C86"/>
    <w:rsid w:val="002A6289"/>
    <w:rsid w:val="002A7493"/>
    <w:rsid w:val="002A7CD2"/>
    <w:rsid w:val="002B0813"/>
    <w:rsid w:val="002B0B5E"/>
    <w:rsid w:val="002B2986"/>
    <w:rsid w:val="002B2EC1"/>
    <w:rsid w:val="002C29A1"/>
    <w:rsid w:val="002C3431"/>
    <w:rsid w:val="002E04A0"/>
    <w:rsid w:val="002E2842"/>
    <w:rsid w:val="002E676D"/>
    <w:rsid w:val="00304AAA"/>
    <w:rsid w:val="0031373B"/>
    <w:rsid w:val="003153AE"/>
    <w:rsid w:val="00324128"/>
    <w:rsid w:val="00326830"/>
    <w:rsid w:val="00341D15"/>
    <w:rsid w:val="00346D44"/>
    <w:rsid w:val="00355997"/>
    <w:rsid w:val="00361E35"/>
    <w:rsid w:val="003664E9"/>
    <w:rsid w:val="003677CA"/>
    <w:rsid w:val="003679A1"/>
    <w:rsid w:val="00374679"/>
    <w:rsid w:val="003816F7"/>
    <w:rsid w:val="00383382"/>
    <w:rsid w:val="003A42F0"/>
    <w:rsid w:val="003B4AF3"/>
    <w:rsid w:val="003C365E"/>
    <w:rsid w:val="003E1F76"/>
    <w:rsid w:val="003E24F0"/>
    <w:rsid w:val="00403EB8"/>
    <w:rsid w:val="00416BA9"/>
    <w:rsid w:val="0042674F"/>
    <w:rsid w:val="004275C9"/>
    <w:rsid w:val="00442AE9"/>
    <w:rsid w:val="00450094"/>
    <w:rsid w:val="004573F8"/>
    <w:rsid w:val="00466F6F"/>
    <w:rsid w:val="0047444A"/>
    <w:rsid w:val="00475FD2"/>
    <w:rsid w:val="004804D1"/>
    <w:rsid w:val="0048183F"/>
    <w:rsid w:val="0048570D"/>
    <w:rsid w:val="00490050"/>
    <w:rsid w:val="00491468"/>
    <w:rsid w:val="004B3FCF"/>
    <w:rsid w:val="004B4A84"/>
    <w:rsid w:val="004C393E"/>
    <w:rsid w:val="004C5424"/>
    <w:rsid w:val="004D7909"/>
    <w:rsid w:val="004E1DE0"/>
    <w:rsid w:val="004E283C"/>
    <w:rsid w:val="004E7185"/>
    <w:rsid w:val="005031D7"/>
    <w:rsid w:val="00503384"/>
    <w:rsid w:val="00522DD5"/>
    <w:rsid w:val="00532994"/>
    <w:rsid w:val="005411ED"/>
    <w:rsid w:val="0055318C"/>
    <w:rsid w:val="005553EF"/>
    <w:rsid w:val="00555712"/>
    <w:rsid w:val="00567E81"/>
    <w:rsid w:val="00572B57"/>
    <w:rsid w:val="00591A57"/>
    <w:rsid w:val="005928EE"/>
    <w:rsid w:val="005A5A1B"/>
    <w:rsid w:val="005C2B1F"/>
    <w:rsid w:val="005C6E9E"/>
    <w:rsid w:val="005C7169"/>
    <w:rsid w:val="005D0C10"/>
    <w:rsid w:val="00602A6E"/>
    <w:rsid w:val="0060778A"/>
    <w:rsid w:val="00612D86"/>
    <w:rsid w:val="0062074A"/>
    <w:rsid w:val="00627F11"/>
    <w:rsid w:val="006455A5"/>
    <w:rsid w:val="0065287E"/>
    <w:rsid w:val="00683131"/>
    <w:rsid w:val="00683BF3"/>
    <w:rsid w:val="0068721C"/>
    <w:rsid w:val="00694F3A"/>
    <w:rsid w:val="00697900"/>
    <w:rsid w:val="006A11CE"/>
    <w:rsid w:val="006A3E34"/>
    <w:rsid w:val="006A7994"/>
    <w:rsid w:val="006B2581"/>
    <w:rsid w:val="006C1C70"/>
    <w:rsid w:val="006C5CFE"/>
    <w:rsid w:val="006D7393"/>
    <w:rsid w:val="006E5222"/>
    <w:rsid w:val="007000D9"/>
    <w:rsid w:val="00706EDD"/>
    <w:rsid w:val="00713197"/>
    <w:rsid w:val="00724D6B"/>
    <w:rsid w:val="00740010"/>
    <w:rsid w:val="00741FE8"/>
    <w:rsid w:val="007434F2"/>
    <w:rsid w:val="00747701"/>
    <w:rsid w:val="00756827"/>
    <w:rsid w:val="0076267B"/>
    <w:rsid w:val="007629D3"/>
    <w:rsid w:val="0077304D"/>
    <w:rsid w:val="00786460"/>
    <w:rsid w:val="00794616"/>
    <w:rsid w:val="007A11AD"/>
    <w:rsid w:val="007D6798"/>
    <w:rsid w:val="008047DE"/>
    <w:rsid w:val="00812B02"/>
    <w:rsid w:val="00824980"/>
    <w:rsid w:val="00833134"/>
    <w:rsid w:val="008335F3"/>
    <w:rsid w:val="00840A7B"/>
    <w:rsid w:val="00841A35"/>
    <w:rsid w:val="00853033"/>
    <w:rsid w:val="008633FA"/>
    <w:rsid w:val="008655C0"/>
    <w:rsid w:val="00867F4E"/>
    <w:rsid w:val="00871E62"/>
    <w:rsid w:val="008817CC"/>
    <w:rsid w:val="00885527"/>
    <w:rsid w:val="008B75AB"/>
    <w:rsid w:val="008C5F9D"/>
    <w:rsid w:val="008D30F9"/>
    <w:rsid w:val="008D3CF3"/>
    <w:rsid w:val="008D53B2"/>
    <w:rsid w:val="008D58B2"/>
    <w:rsid w:val="008D6FFF"/>
    <w:rsid w:val="008D7FBD"/>
    <w:rsid w:val="008E2CB8"/>
    <w:rsid w:val="00907903"/>
    <w:rsid w:val="00912169"/>
    <w:rsid w:val="0092037A"/>
    <w:rsid w:val="009246AD"/>
    <w:rsid w:val="009262C5"/>
    <w:rsid w:val="00927A60"/>
    <w:rsid w:val="009311E9"/>
    <w:rsid w:val="00932D12"/>
    <w:rsid w:val="0093503B"/>
    <w:rsid w:val="00946620"/>
    <w:rsid w:val="00946F21"/>
    <w:rsid w:val="00961A8E"/>
    <w:rsid w:val="00961DDB"/>
    <w:rsid w:val="00973C1D"/>
    <w:rsid w:val="00977378"/>
    <w:rsid w:val="00977C81"/>
    <w:rsid w:val="0098134A"/>
    <w:rsid w:val="00985CA6"/>
    <w:rsid w:val="00992957"/>
    <w:rsid w:val="009A7D99"/>
    <w:rsid w:val="009B457C"/>
    <w:rsid w:val="009C1B1A"/>
    <w:rsid w:val="009C2E97"/>
    <w:rsid w:val="009F2E7E"/>
    <w:rsid w:val="00A02D62"/>
    <w:rsid w:val="00A20EB5"/>
    <w:rsid w:val="00A47916"/>
    <w:rsid w:val="00A518EC"/>
    <w:rsid w:val="00A57255"/>
    <w:rsid w:val="00A7152B"/>
    <w:rsid w:val="00A764EF"/>
    <w:rsid w:val="00A8315E"/>
    <w:rsid w:val="00A854B5"/>
    <w:rsid w:val="00AA1B1B"/>
    <w:rsid w:val="00AA3B04"/>
    <w:rsid w:val="00AA3EDB"/>
    <w:rsid w:val="00AA534F"/>
    <w:rsid w:val="00AB0B53"/>
    <w:rsid w:val="00AB2F42"/>
    <w:rsid w:val="00AB34C5"/>
    <w:rsid w:val="00AB5C82"/>
    <w:rsid w:val="00AC02D9"/>
    <w:rsid w:val="00AD07EB"/>
    <w:rsid w:val="00AD32B3"/>
    <w:rsid w:val="00AF4F6D"/>
    <w:rsid w:val="00AF7F6A"/>
    <w:rsid w:val="00B05A88"/>
    <w:rsid w:val="00B16D84"/>
    <w:rsid w:val="00B176A5"/>
    <w:rsid w:val="00B25D51"/>
    <w:rsid w:val="00B25DB0"/>
    <w:rsid w:val="00B366F3"/>
    <w:rsid w:val="00B41E49"/>
    <w:rsid w:val="00B44641"/>
    <w:rsid w:val="00B56B82"/>
    <w:rsid w:val="00B57DD3"/>
    <w:rsid w:val="00B61065"/>
    <w:rsid w:val="00B621E8"/>
    <w:rsid w:val="00B7618D"/>
    <w:rsid w:val="00B966E8"/>
    <w:rsid w:val="00BA1647"/>
    <w:rsid w:val="00BB48BF"/>
    <w:rsid w:val="00BC73E3"/>
    <w:rsid w:val="00BD2C44"/>
    <w:rsid w:val="00BE0FF0"/>
    <w:rsid w:val="00BE404D"/>
    <w:rsid w:val="00BF2F17"/>
    <w:rsid w:val="00C10EE0"/>
    <w:rsid w:val="00C12556"/>
    <w:rsid w:val="00C273BF"/>
    <w:rsid w:val="00C32A4C"/>
    <w:rsid w:val="00C32D14"/>
    <w:rsid w:val="00C403F7"/>
    <w:rsid w:val="00C40730"/>
    <w:rsid w:val="00C42AC5"/>
    <w:rsid w:val="00C46DF5"/>
    <w:rsid w:val="00C47B40"/>
    <w:rsid w:val="00C52A60"/>
    <w:rsid w:val="00C60685"/>
    <w:rsid w:val="00C6170A"/>
    <w:rsid w:val="00C65367"/>
    <w:rsid w:val="00CA225D"/>
    <w:rsid w:val="00CA2507"/>
    <w:rsid w:val="00CB05AA"/>
    <w:rsid w:val="00CB63C7"/>
    <w:rsid w:val="00CD44D3"/>
    <w:rsid w:val="00CD44DE"/>
    <w:rsid w:val="00CE3F58"/>
    <w:rsid w:val="00CF0395"/>
    <w:rsid w:val="00CF7B84"/>
    <w:rsid w:val="00D04D2F"/>
    <w:rsid w:val="00D30BBE"/>
    <w:rsid w:val="00D318E5"/>
    <w:rsid w:val="00D32E24"/>
    <w:rsid w:val="00D41EB9"/>
    <w:rsid w:val="00D76D68"/>
    <w:rsid w:val="00D862DC"/>
    <w:rsid w:val="00DA4A7E"/>
    <w:rsid w:val="00DB0481"/>
    <w:rsid w:val="00DB0FB1"/>
    <w:rsid w:val="00DC573C"/>
    <w:rsid w:val="00DD54CB"/>
    <w:rsid w:val="00DD6DBB"/>
    <w:rsid w:val="00DE2AF9"/>
    <w:rsid w:val="00E074F2"/>
    <w:rsid w:val="00E12340"/>
    <w:rsid w:val="00E304CF"/>
    <w:rsid w:val="00E37738"/>
    <w:rsid w:val="00E51E84"/>
    <w:rsid w:val="00E563C3"/>
    <w:rsid w:val="00E6604C"/>
    <w:rsid w:val="00E66D5E"/>
    <w:rsid w:val="00E809A0"/>
    <w:rsid w:val="00E83D61"/>
    <w:rsid w:val="00E8415C"/>
    <w:rsid w:val="00E91482"/>
    <w:rsid w:val="00E96302"/>
    <w:rsid w:val="00EA6C82"/>
    <w:rsid w:val="00EB0549"/>
    <w:rsid w:val="00EB21C0"/>
    <w:rsid w:val="00EC78B7"/>
    <w:rsid w:val="00ED39D3"/>
    <w:rsid w:val="00EE22AD"/>
    <w:rsid w:val="00F00152"/>
    <w:rsid w:val="00F134F5"/>
    <w:rsid w:val="00F47B85"/>
    <w:rsid w:val="00F54BDD"/>
    <w:rsid w:val="00F5645C"/>
    <w:rsid w:val="00F6202D"/>
    <w:rsid w:val="00F652F8"/>
    <w:rsid w:val="00F934D8"/>
    <w:rsid w:val="00FB3DC8"/>
    <w:rsid w:val="00FB3E29"/>
    <w:rsid w:val="00FB6215"/>
    <w:rsid w:val="00FB7DBC"/>
    <w:rsid w:val="00FD6AAF"/>
    <w:rsid w:val="00FE317F"/>
    <w:rsid w:val="00FE6219"/>
    <w:rsid w:val="00FE7E2A"/>
    <w:rsid w:val="00FF27C4"/>
    <w:rsid w:val="00FF2D4B"/>
    <w:rsid w:val="00FF41C0"/>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E1797"/>
  <w15:docId w15:val="{FC26745B-156A-4656-989E-265B6FF5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A7152B"/>
    <w:pPr>
      <w:spacing w:after="240" w:line="480" w:lineRule="auto"/>
      <w:jc w:val="left"/>
    </w:pPr>
  </w:style>
  <w:style w:type="character" w:customStyle="1" w:styleId="StyleFACorrespondingAuthorFootnote7ptChar">
    <w:name w:val="Style FA_Corresponding_Author_Footnote + 7 pt Char"/>
    <w:link w:val="StyleFACorrespondingAuthorFootnote7pt"/>
    <w:rsid w:val="00A7152B"/>
    <w:rPr>
      <w:rFonts w:ascii="Times" w:hAnsi="Times"/>
      <w:sz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BalloonTextChar">
    <w:name w:val="Balloon Text Char"/>
    <w:basedOn w:val="DefaultParagraphFont"/>
    <w:link w:val="BalloonText"/>
    <w:uiPriority w:val="99"/>
    <w:semiHidden/>
    <w:rsid w:val="00CB05AA"/>
    <w:rPr>
      <w:rFonts w:ascii="Tahoma" w:hAnsi="Tahoma" w:cs="Tahoma"/>
      <w:sz w:val="16"/>
      <w:szCs w:val="16"/>
    </w:rPr>
  </w:style>
  <w:style w:type="paragraph" w:customStyle="1" w:styleId="RSCB02ArticleText">
    <w:name w:val="RSC B02 Article Text"/>
    <w:basedOn w:val="Normal"/>
    <w:link w:val="RSCB02ArticleTextChar"/>
    <w:qFormat/>
    <w:rsid w:val="00CB05AA"/>
    <w:pPr>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CB05AA"/>
    <w:rPr>
      <w:rFonts w:asciiTheme="minorHAnsi" w:eastAsiaTheme="minorHAnsi" w:hAnsiTheme="minorHAnsi"/>
      <w:w w:val="108"/>
      <w:sz w:val="18"/>
      <w:szCs w:val="18"/>
      <w:lang w:val="en-GB"/>
    </w:rPr>
  </w:style>
  <w:style w:type="character" w:customStyle="1" w:styleId="hps">
    <w:name w:val="hps"/>
    <w:basedOn w:val="DefaultParagraphFont"/>
    <w:rsid w:val="00B966E8"/>
  </w:style>
  <w:style w:type="paragraph" w:customStyle="1" w:styleId="RSCB07BHeadingSub-Section-standalone">
    <w:name w:val="RSC B07 B Heading (Sub-Section - stand alone)"/>
    <w:link w:val="RSCB07BHeadingSub-Section-standaloneChar"/>
    <w:qFormat/>
    <w:rsid w:val="00E37738"/>
    <w:pPr>
      <w:spacing w:before="160" w:after="80" w:line="240" w:lineRule="exact"/>
    </w:pPr>
    <w:rPr>
      <w:rFonts w:asciiTheme="minorHAnsi" w:eastAsiaTheme="minorHAnsi"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rsid w:val="00E37738"/>
    <w:rPr>
      <w:rFonts w:asciiTheme="minorHAnsi" w:eastAsiaTheme="minorHAnsi" w:hAnsiTheme="minorHAnsi" w:cstheme="minorBidi"/>
      <w:b/>
      <w:sz w:val="18"/>
      <w:szCs w:val="22"/>
      <w:lang w:val="en-GB"/>
    </w:rPr>
  </w:style>
  <w:style w:type="character" w:styleId="CommentReference">
    <w:name w:val="annotation reference"/>
    <w:basedOn w:val="DefaultParagraphFont"/>
    <w:uiPriority w:val="99"/>
    <w:semiHidden/>
    <w:unhideWhenUsed/>
    <w:rsid w:val="00E37738"/>
    <w:rPr>
      <w:sz w:val="16"/>
      <w:szCs w:val="16"/>
    </w:rPr>
  </w:style>
  <w:style w:type="paragraph" w:customStyle="1" w:styleId="RSCB08CHeadingIn-line">
    <w:name w:val="RSC B08 C Heading (In-line)"/>
    <w:link w:val="RSCB08CHeadingIn-lineChar"/>
    <w:qFormat/>
    <w:rsid w:val="001C0C63"/>
    <w:pPr>
      <w:spacing w:line="276" w:lineRule="auto"/>
    </w:pPr>
    <w:rPr>
      <w:rFonts w:asciiTheme="minorHAnsi" w:eastAsiaTheme="minorHAnsi" w:hAnsiTheme="minorHAnsi" w:cstheme="minorBidi"/>
      <w:b/>
      <w:sz w:val="18"/>
      <w:szCs w:val="22"/>
      <w:lang w:val="en-GB"/>
    </w:rPr>
  </w:style>
  <w:style w:type="character" w:customStyle="1" w:styleId="RSCB08CHeadingIn-lineChar">
    <w:name w:val="RSC B08 C Heading (In-line) Char"/>
    <w:basedOn w:val="DefaultParagraphFont"/>
    <w:link w:val="RSCB08CHeadingIn-line"/>
    <w:rsid w:val="001C0C63"/>
    <w:rPr>
      <w:rFonts w:asciiTheme="minorHAnsi" w:eastAsiaTheme="minorHAnsi" w:hAnsiTheme="minorHAnsi" w:cstheme="minorBidi"/>
      <w:b/>
      <w:sz w:val="18"/>
      <w:szCs w:val="22"/>
      <w:lang w:val="en-GB"/>
    </w:rPr>
  </w:style>
  <w:style w:type="table" w:styleId="TableGrid">
    <w:name w:val="Table Grid"/>
    <w:basedOn w:val="TableNormal"/>
    <w:rsid w:val="00131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1TableTitlewithtopbar">
    <w:name w:val="RSC T01 Table Title with top bar"/>
    <w:basedOn w:val="Normal"/>
    <w:link w:val="RSCT01TableTitlewithtopbarChar"/>
    <w:qFormat/>
    <w:rsid w:val="00131347"/>
    <w:pPr>
      <w:keepNext/>
      <w:keepLines/>
      <w:pBdr>
        <w:top w:val="single" w:sz="12" w:space="1" w:color="999999"/>
        <w:bottom w:val="single" w:sz="6" w:space="1" w:color="auto"/>
      </w:pBdr>
      <w:spacing w:before="120" w:after="120" w:line="200" w:lineRule="exact"/>
    </w:pPr>
    <w:rPr>
      <w:rFonts w:asciiTheme="minorHAnsi" w:hAnsiTheme="minorHAnsi"/>
      <w:sz w:val="14"/>
      <w:lang w:val="en-GB" w:eastAsia="en-GB"/>
    </w:rPr>
  </w:style>
  <w:style w:type="character" w:customStyle="1" w:styleId="RSCT01TableTitlewithtopbarChar">
    <w:name w:val="RSC T01 Table Title with top bar Char"/>
    <w:basedOn w:val="DefaultParagraphFont"/>
    <w:link w:val="RSCT01TableTitlewithtopbar"/>
    <w:rsid w:val="00131347"/>
    <w:rPr>
      <w:rFonts w:asciiTheme="minorHAnsi" w:hAnsiTheme="minorHAnsi"/>
      <w:sz w:val="14"/>
      <w:lang w:val="en-GB" w:eastAsia="en-GB"/>
    </w:rPr>
  </w:style>
  <w:style w:type="paragraph" w:customStyle="1" w:styleId="RSCT03TableBody">
    <w:name w:val="RSC T03 Table Body"/>
    <w:basedOn w:val="Normal"/>
    <w:link w:val="RSCT03TableBodyChar"/>
    <w:qFormat/>
    <w:rsid w:val="00131347"/>
    <w:pPr>
      <w:keepNext/>
      <w:keepLines/>
      <w:spacing w:after="0" w:line="220" w:lineRule="exact"/>
      <w:jc w:val="center"/>
    </w:pPr>
    <w:rPr>
      <w:rFonts w:asciiTheme="minorHAnsi" w:hAnsiTheme="minorHAnsi"/>
      <w:sz w:val="16"/>
      <w:szCs w:val="16"/>
      <w:lang w:val="en-GB" w:eastAsia="en-GB"/>
    </w:rPr>
  </w:style>
  <w:style w:type="character" w:customStyle="1" w:styleId="RSCT03TableBodyChar">
    <w:name w:val="RSC T03 Table Body Char"/>
    <w:basedOn w:val="DefaultParagraphFont"/>
    <w:link w:val="RSCT03TableBody"/>
    <w:rsid w:val="00131347"/>
    <w:rPr>
      <w:rFonts w:asciiTheme="minorHAnsi" w:hAnsiTheme="minorHAnsi"/>
      <w:sz w:val="16"/>
      <w:szCs w:val="16"/>
      <w:lang w:val="en-GB" w:eastAsia="en-GB"/>
    </w:rPr>
  </w:style>
  <w:style w:type="paragraph" w:customStyle="1" w:styleId="RSCI04CaptiontoFigureSchemeChart">
    <w:name w:val="RSC I04 Caption to Figure/Scheme/Chart"/>
    <w:link w:val="RSCI04CaptiontoFigureSchemeChartChar"/>
    <w:qFormat/>
    <w:rsid w:val="00F934D8"/>
    <w:pPr>
      <w:spacing w:after="200" w:line="200" w:lineRule="exact"/>
      <w:jc w:val="both"/>
    </w:pPr>
    <w:rPr>
      <w:rFonts w:asciiTheme="minorHAnsi" w:eastAsiaTheme="minorHAnsi" w:hAnsiTheme="minorHAnsi" w:cstheme="minorBidi"/>
      <w:bCs/>
      <w:sz w:val="14"/>
      <w:szCs w:val="18"/>
      <w:lang w:val="en-GB"/>
    </w:rPr>
  </w:style>
  <w:style w:type="character" w:customStyle="1" w:styleId="RSCI04CaptiontoFigureSchemeChartChar">
    <w:name w:val="RSC I04 Caption to Figure/Scheme/Chart Char"/>
    <w:basedOn w:val="DefaultParagraphFont"/>
    <w:link w:val="RSCI04CaptiontoFigureSchemeChart"/>
    <w:rsid w:val="00F934D8"/>
    <w:rPr>
      <w:rFonts w:asciiTheme="minorHAnsi" w:eastAsiaTheme="minorHAnsi" w:hAnsiTheme="minorHAnsi" w:cstheme="minorBidi"/>
      <w:bCs/>
      <w:sz w:val="14"/>
      <w:szCs w:val="18"/>
      <w:lang w:val="en-GB"/>
    </w:rPr>
  </w:style>
  <w:style w:type="paragraph" w:styleId="Header">
    <w:name w:val="header"/>
    <w:basedOn w:val="Normal"/>
    <w:link w:val="HeaderChar"/>
    <w:unhideWhenUsed/>
    <w:rsid w:val="00341D15"/>
    <w:pPr>
      <w:tabs>
        <w:tab w:val="center" w:pos="4536"/>
        <w:tab w:val="right" w:pos="9072"/>
      </w:tabs>
      <w:spacing w:after="0"/>
    </w:pPr>
  </w:style>
  <w:style w:type="character" w:customStyle="1" w:styleId="HeaderChar">
    <w:name w:val="Header Char"/>
    <w:basedOn w:val="DefaultParagraphFont"/>
    <w:link w:val="Header"/>
    <w:rsid w:val="00341D15"/>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E68F9-44F6-4104-9714-14C284A5A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26620</Words>
  <Characters>151738</Characters>
  <Application>Microsoft Office Word</Application>
  <DocSecurity>0</DocSecurity>
  <Lines>1264</Lines>
  <Paragraphs>356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178002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Olka</dc:creator>
  <cp:keywords/>
  <dc:description/>
  <cp:lastModifiedBy>Waste-Valor</cp:lastModifiedBy>
  <cp:revision>3</cp:revision>
  <cp:lastPrinted>2018-09-21T19:35:00Z</cp:lastPrinted>
  <dcterms:created xsi:type="dcterms:W3CDTF">2018-09-23T10:23:00Z</dcterms:created>
  <dcterms:modified xsi:type="dcterms:W3CDTF">2018-09-24T20:29:00Z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3db285da-f4b1-318a-bc91-8c09ec8ce4a6</vt:lpwstr>
  </property>
  <property fmtid="{D5CDD505-2E9C-101B-9397-08002B2CF9AE}" pid="4" name="Mendeley Citation Style_1">
    <vt:lpwstr>http://www.zotero.org/styles/journal-of-agricultural-and-food-chemistry</vt:lpwstr>
  </property>
  <property fmtid="{D5CDD505-2E9C-101B-9397-08002B2CF9AE}" pid="5" name="Mendeley Recent Style Id 0_1">
    <vt:lpwstr>http://csl.mendeley.com/styles/440356341/american-chemical-society-3</vt:lpwstr>
  </property>
  <property fmtid="{D5CDD505-2E9C-101B-9397-08002B2CF9AE}" pid="6" name="Mendeley Recent Style Name 0_1">
    <vt:lpwstr>American Chemical Society - Aleksandra Grudniewska</vt:lpwstr>
  </property>
  <property fmtid="{D5CDD505-2E9C-101B-9397-08002B2CF9AE}" pid="7" name="Mendeley Recent Style Id 1_1">
    <vt:lpwstr>http://csl.mendeley.com/styles/440356341/american-chemical-society-2</vt:lpwstr>
  </property>
  <property fmtid="{D5CDD505-2E9C-101B-9397-08002B2CF9AE}" pid="8" name="Mendeley Recent Style Name 1_1">
    <vt:lpwstr>American Chemical Society - Aleksandra Grudniewska</vt:lpwstr>
  </property>
  <property fmtid="{D5CDD505-2E9C-101B-9397-08002B2CF9AE}" pid="9" name="Mendeley Recent Style Id 2_1">
    <vt:lpwstr>http://csl.mendeley.com/styles/440356341/american-chemical-society-4</vt:lpwstr>
  </property>
  <property fmtid="{D5CDD505-2E9C-101B-9397-08002B2CF9AE}" pid="10" name="Mendeley Recent Style Name 2_1">
    <vt:lpwstr>American Chemical Society - Aleksandra Grudniewska</vt:lpwstr>
  </property>
  <property fmtid="{D5CDD505-2E9C-101B-9397-08002B2CF9AE}" pid="11" name="Mendeley Recent Style Id 3_1">
    <vt:lpwstr>http://www.zotero.org/styles/american-medical-association</vt:lpwstr>
  </property>
  <property fmtid="{D5CDD505-2E9C-101B-9397-08002B2CF9AE}" pid="12" name="Mendeley Recent Style Name 3_1">
    <vt:lpwstr>American Medical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http://www.zotero.org/styles/green-chemistry</vt:lpwstr>
  </property>
  <property fmtid="{D5CDD505-2E9C-101B-9397-08002B2CF9AE}" pid="18" name="Mendeley Recent Style Name 6_1">
    <vt:lpwstr>Green Chemistry</vt:lpwstr>
  </property>
  <property fmtid="{D5CDD505-2E9C-101B-9397-08002B2CF9AE}" pid="19" name="Mendeley Recent Style Id 7_1">
    <vt:lpwstr>http://www.zotero.org/styles/journal-of-agricultural-and-food-chemistry</vt:lpwstr>
  </property>
  <property fmtid="{D5CDD505-2E9C-101B-9397-08002B2CF9AE}" pid="20" name="Mendeley Recent Style Name 7_1">
    <vt:lpwstr>Journal of Agricultural and Food Chemistry</vt:lpwstr>
  </property>
  <property fmtid="{D5CDD505-2E9C-101B-9397-08002B2CF9AE}" pid="21" name="Mendeley Recent Style Id 8_1">
    <vt:lpwstr>http://www.zotero.org/styles/journal-of-natural-products</vt:lpwstr>
  </property>
  <property fmtid="{D5CDD505-2E9C-101B-9397-08002B2CF9AE}" pid="22" name="Mendeley Recent Style Name 8_1">
    <vt:lpwstr>Journal of Natural Products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