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contextualSpacing w:val="0"/>
        <w:jc w:val="both"/>
        <w:rPr/>
      </w:pPr>
      <w:r w:rsidDel="00000000" w:rsidR="00000000" w:rsidRPr="00000000">
        <w:rPr>
          <w:rtl w:val="0"/>
        </w:rPr>
        <w:t xml:space="preserve">The discovery of Mesolithic red deer at Skipsea Withow </w:t>
      </w:r>
      <w:r w:rsidDel="00000000" w:rsidR="00000000" w:rsidRPr="00000000">
        <w:rPr>
          <w:color w:val="ff0000"/>
          <w:sz w:val="20"/>
          <w:szCs w:val="20"/>
          <w:rtl w:val="0"/>
        </w:rPr>
        <w:t xml:space="preserve">[H1]</w:t>
      </w:r>
      <w:r w:rsidDel="00000000" w:rsidR="00000000" w:rsidRPr="00000000">
        <w:rPr>
          <w:rtl w:val="0"/>
        </w:rPr>
      </w:r>
    </w:p>
    <w:p w:rsidR="00000000" w:rsidDel="00000000" w:rsidP="00000000" w:rsidRDefault="00000000" w:rsidRPr="00000000" w14:paraId="00000001">
      <w:pPr>
        <w:contextualSpacing w:val="0"/>
        <w:jc w:val="both"/>
        <w:rPr/>
      </w:pPr>
      <w:r w:rsidDel="00000000" w:rsidR="00000000" w:rsidRPr="00000000">
        <w:rPr>
          <w:rtl w:val="0"/>
        </w:rPr>
      </w:r>
    </w:p>
    <w:p w:rsidR="00000000" w:rsidDel="00000000" w:rsidP="00000000" w:rsidRDefault="00000000" w:rsidRPr="00000000" w14:paraId="00000002">
      <w:pPr>
        <w:contextualSpacing w:val="0"/>
        <w:jc w:val="both"/>
        <w:rPr/>
      </w:pPr>
      <w:r w:rsidDel="00000000" w:rsidR="00000000" w:rsidRPr="00000000">
        <w:rPr>
          <w:b w:val="1"/>
          <w:rtl w:val="0"/>
        </w:rPr>
        <w:t xml:space="preserve">Sheila Cadman</w:t>
      </w:r>
      <w:r w:rsidDel="00000000" w:rsidR="00000000" w:rsidRPr="00000000">
        <w:rPr>
          <w:rtl w:val="0"/>
        </w:rPr>
      </w:r>
    </w:p>
    <w:p w:rsidR="00000000" w:rsidDel="00000000" w:rsidP="00000000" w:rsidRDefault="00000000" w:rsidRPr="00000000" w14:paraId="00000003">
      <w:pPr>
        <w:contextualSpacing w:val="0"/>
        <w:jc w:val="both"/>
        <w:rPr/>
      </w:pPr>
      <w:r w:rsidDel="00000000" w:rsidR="00000000" w:rsidRPr="00000000">
        <w:rPr>
          <w:rtl w:val="0"/>
        </w:rPr>
        <w:t xml:space="preserve">Wansford, Driffield, East Yorkshire</w:t>
      </w:r>
    </w:p>
    <w:p w:rsidR="00000000" w:rsidDel="00000000" w:rsidP="00000000" w:rsidRDefault="00000000" w:rsidRPr="00000000" w14:paraId="00000004">
      <w:pPr>
        <w:contextualSpacing w:val="0"/>
        <w:jc w:val="both"/>
        <w:rPr/>
      </w:pPr>
      <w:hyperlink r:id="rId6">
        <w:r w:rsidDel="00000000" w:rsidR="00000000" w:rsidRPr="00000000">
          <w:rPr>
            <w:color w:val="0000ff"/>
            <w:u w:val="single"/>
            <w:rtl w:val="0"/>
          </w:rPr>
          <w:t xml:space="preserve">SheilaCad@yahoo.co.uk</w:t>
        </w:r>
      </w:hyperlink>
      <w:r w:rsidDel="00000000" w:rsidR="00000000" w:rsidRPr="00000000">
        <w:rPr>
          <w:rtl w:val="0"/>
        </w:rPr>
      </w:r>
    </w:p>
    <w:p w:rsidR="00000000" w:rsidDel="00000000" w:rsidP="00000000" w:rsidRDefault="00000000" w:rsidRPr="00000000" w14:paraId="00000005">
      <w:pPr>
        <w:contextualSpacing w:val="0"/>
        <w:jc w:val="both"/>
        <w:rPr/>
      </w:pPr>
      <w:r w:rsidDel="00000000" w:rsidR="00000000" w:rsidRPr="00000000">
        <w:rPr>
          <w:rtl w:val="0"/>
        </w:rPr>
      </w:r>
    </w:p>
    <w:p w:rsidR="00000000" w:rsidDel="00000000" w:rsidP="00000000" w:rsidRDefault="00000000" w:rsidRPr="00000000" w14:paraId="00000006">
      <w:pPr>
        <w:contextualSpacing w:val="0"/>
        <w:jc w:val="both"/>
        <w:rPr/>
      </w:pPr>
      <w:r w:rsidDel="00000000" w:rsidR="00000000" w:rsidRPr="00000000">
        <w:rPr>
          <w:rtl w:val="0"/>
        </w:rPr>
        <w:t xml:space="preserve">Sheila Cadman is a local historian and amateur archaeologist who is particularly interested in the prehistory of East and North Yorkshire. She is also an archivist at Londesborough Lodge, Scarborough working on and cataloguing material from Star Carr.</w:t>
      </w:r>
    </w:p>
    <w:p w:rsidR="00000000" w:rsidDel="00000000" w:rsidP="00000000" w:rsidRDefault="00000000" w:rsidRPr="00000000" w14:paraId="00000007">
      <w:pPr>
        <w:contextualSpacing w:val="0"/>
        <w:jc w:val="both"/>
        <w:rPr/>
      </w:pPr>
      <w:r w:rsidDel="00000000" w:rsidR="00000000" w:rsidRPr="00000000">
        <w:rPr>
          <w:rtl w:val="0"/>
        </w:rPr>
      </w:r>
    </w:p>
    <w:p w:rsidR="00000000" w:rsidDel="00000000" w:rsidP="00000000" w:rsidRDefault="00000000" w:rsidRPr="00000000" w14:paraId="00000008">
      <w:pPr>
        <w:contextualSpacing w:val="0"/>
        <w:jc w:val="both"/>
        <w:rPr/>
      </w:pPr>
      <w:r w:rsidDel="00000000" w:rsidR="00000000" w:rsidRPr="00000000">
        <w:rPr>
          <w:rtl w:val="0"/>
        </w:rPr>
      </w:r>
    </w:p>
    <w:p w:rsidR="00000000" w:rsidDel="00000000" w:rsidP="00000000" w:rsidRDefault="00000000" w:rsidRPr="00000000" w14:paraId="00000009">
      <w:pPr>
        <w:contextualSpacing w:val="0"/>
        <w:jc w:val="both"/>
        <w:rPr/>
      </w:pPr>
      <w:r w:rsidDel="00000000" w:rsidR="00000000" w:rsidRPr="00000000">
        <w:rPr>
          <w:b w:val="1"/>
          <w:rtl w:val="0"/>
        </w:rPr>
        <w:t xml:space="preserve">Becky Knight </w:t>
      </w:r>
      <w:r w:rsidDel="00000000" w:rsidR="00000000" w:rsidRPr="00000000">
        <w:rPr>
          <w:rtl w:val="0"/>
        </w:rPr>
      </w:r>
    </w:p>
    <w:p w:rsidR="00000000" w:rsidDel="00000000" w:rsidP="00000000" w:rsidRDefault="00000000" w:rsidRPr="00000000" w14:paraId="0000000A">
      <w:pPr>
        <w:contextualSpacing w:val="0"/>
        <w:jc w:val="both"/>
        <w:rPr/>
      </w:pPr>
      <w:r w:rsidDel="00000000" w:rsidR="00000000" w:rsidRPr="00000000">
        <w:rPr>
          <w:rtl w:val="0"/>
        </w:rPr>
        <w:t xml:space="preserve">Department of Archaeology, The Kings Manor, University of York, York, YO1 7EP</w:t>
      </w:r>
    </w:p>
    <w:p w:rsidR="00000000" w:rsidDel="00000000" w:rsidP="00000000" w:rsidRDefault="00000000" w:rsidRPr="00000000" w14:paraId="0000000B">
      <w:pPr>
        <w:contextualSpacing w:val="0"/>
        <w:jc w:val="both"/>
        <w:rPr/>
      </w:pPr>
      <w:hyperlink r:id="rId7">
        <w:r w:rsidDel="00000000" w:rsidR="00000000" w:rsidRPr="00000000">
          <w:rPr>
            <w:color w:val="0000ff"/>
            <w:u w:val="single"/>
            <w:rtl w:val="0"/>
          </w:rPr>
          <w:t xml:space="preserve">becky.knight@york.ac.uk</w:t>
        </w:r>
      </w:hyperlink>
      <w:r w:rsidDel="00000000" w:rsidR="00000000" w:rsidRPr="00000000">
        <w:rPr>
          <w:rtl w:val="0"/>
        </w:rPr>
      </w:r>
    </w:p>
    <w:p w:rsidR="00000000" w:rsidDel="00000000" w:rsidP="00000000" w:rsidRDefault="00000000" w:rsidRPr="00000000" w14:paraId="0000000C">
      <w:pPr>
        <w:contextualSpacing w:val="0"/>
        <w:jc w:val="both"/>
        <w:rPr/>
      </w:pPr>
      <w:r w:rsidDel="00000000" w:rsidR="00000000" w:rsidRPr="00000000">
        <w:rPr>
          <w:rtl w:val="0"/>
        </w:rPr>
      </w:r>
    </w:p>
    <w:p w:rsidR="00000000" w:rsidDel="00000000" w:rsidP="00000000" w:rsidRDefault="00000000" w:rsidRPr="00000000" w14:paraId="0000000D">
      <w:pPr>
        <w:contextualSpacing w:val="0"/>
        <w:jc w:val="both"/>
        <w:rPr/>
      </w:pPr>
      <w:r w:rsidDel="00000000" w:rsidR="00000000" w:rsidRPr="00000000">
        <w:rPr>
          <w:rtl w:val="0"/>
        </w:rPr>
        <w:t xml:space="preserve">Becky Knight is an expert in zooarchaeology and completed a Masters in this subject in 2012, specialising on small mammals from cave sites in Yorkshire for her dissertation. She is currently a research technician on the ERC funded POSTGLACIAL project at the University of York and has been working on the faunal remains from the sites of Star Carr and Flixton Island. </w:t>
      </w:r>
    </w:p>
    <w:p w:rsidR="00000000" w:rsidDel="00000000" w:rsidP="00000000" w:rsidRDefault="00000000" w:rsidRPr="00000000" w14:paraId="0000000E">
      <w:pPr>
        <w:contextualSpacing w:val="0"/>
        <w:jc w:val="both"/>
        <w:rPr/>
      </w:pPr>
      <w:r w:rsidDel="00000000" w:rsidR="00000000" w:rsidRPr="00000000">
        <w:rPr>
          <w:rtl w:val="0"/>
        </w:rPr>
      </w:r>
    </w:p>
    <w:p w:rsidR="00000000" w:rsidDel="00000000" w:rsidP="00000000" w:rsidRDefault="00000000" w:rsidRPr="00000000" w14:paraId="0000000F">
      <w:pPr>
        <w:contextualSpacing w:val="0"/>
        <w:jc w:val="both"/>
        <w:rPr/>
      </w:pPr>
      <w:r w:rsidDel="00000000" w:rsidR="00000000" w:rsidRPr="00000000">
        <w:rPr>
          <w:b w:val="1"/>
          <w:rtl w:val="0"/>
        </w:rPr>
        <w:t xml:space="preserve">Ben Elliott</w:t>
      </w:r>
      <w:r w:rsidDel="00000000" w:rsidR="00000000" w:rsidRPr="00000000">
        <w:rPr>
          <w:rtl w:val="0"/>
        </w:rPr>
      </w:r>
    </w:p>
    <w:p w:rsidR="00000000" w:rsidDel="00000000" w:rsidP="00000000" w:rsidRDefault="00000000" w:rsidRPr="00000000" w14:paraId="00000010">
      <w:pPr>
        <w:contextualSpacing w:val="0"/>
        <w:jc w:val="both"/>
        <w:rPr/>
      </w:pPr>
      <w:r w:rsidDel="00000000" w:rsidR="00000000" w:rsidRPr="00000000">
        <w:rPr>
          <w:rtl w:val="0"/>
        </w:rPr>
        <w:t xml:space="preserve">Department of Archaeology, The Kings Manor, University of York, York, YO1 7EP</w:t>
      </w:r>
    </w:p>
    <w:p w:rsidR="00000000" w:rsidDel="00000000" w:rsidP="00000000" w:rsidRDefault="00000000" w:rsidRPr="00000000" w14:paraId="00000011">
      <w:pPr>
        <w:contextualSpacing w:val="0"/>
        <w:jc w:val="both"/>
        <w:rPr/>
      </w:pPr>
      <w:hyperlink r:id="rId8">
        <w:r w:rsidDel="00000000" w:rsidR="00000000" w:rsidRPr="00000000">
          <w:rPr>
            <w:color w:val="0000ff"/>
            <w:u w:val="single"/>
            <w:rtl w:val="0"/>
          </w:rPr>
          <w:t xml:space="preserve">ben.elliott@york.ac.uk</w:t>
        </w:r>
      </w:hyperlink>
      <w:r w:rsidDel="00000000" w:rsidR="00000000" w:rsidRPr="00000000">
        <w:rPr>
          <w:rtl w:val="0"/>
        </w:rPr>
      </w:r>
    </w:p>
    <w:p w:rsidR="00000000" w:rsidDel="00000000" w:rsidP="00000000" w:rsidRDefault="00000000" w:rsidRPr="00000000" w14:paraId="00000012">
      <w:pPr>
        <w:contextualSpacing w:val="0"/>
        <w:jc w:val="both"/>
        <w:rPr/>
      </w:pPr>
      <w:r w:rsidDel="00000000" w:rsidR="00000000" w:rsidRPr="00000000">
        <w:rPr>
          <w:rtl w:val="0"/>
        </w:rPr>
      </w:r>
    </w:p>
    <w:p w:rsidR="00000000" w:rsidDel="00000000" w:rsidP="00000000" w:rsidRDefault="00000000" w:rsidRPr="00000000" w14:paraId="00000013">
      <w:pPr>
        <w:contextualSpacing w:val="0"/>
        <w:jc w:val="both"/>
        <w:rPr/>
      </w:pPr>
      <w:r w:rsidDel="00000000" w:rsidR="00000000" w:rsidRPr="00000000">
        <w:rPr>
          <w:rtl w:val="0"/>
        </w:rPr>
        <w:t xml:space="preserve">Ben Elliott specialises in prehistoric bone and antler technology, completing a PhD on British Mesolithic antler working in 2013. He is currently employed as a post-doctoral research associate on the SoundTracks project (in partnership with Creswell Heritage Trust and the British Library) and as a project archivist and osseous technology specialist on the POSTGLACIAL project.</w:t>
      </w:r>
    </w:p>
    <w:p w:rsidR="00000000" w:rsidDel="00000000" w:rsidP="00000000" w:rsidRDefault="00000000" w:rsidRPr="00000000" w14:paraId="00000014">
      <w:pPr>
        <w:contextualSpacing w:val="0"/>
        <w:jc w:val="both"/>
        <w:rPr/>
      </w:pPr>
      <w:r w:rsidDel="00000000" w:rsidR="00000000" w:rsidRPr="00000000">
        <w:rPr>
          <w:rtl w:val="0"/>
        </w:rPr>
      </w:r>
    </w:p>
    <w:p w:rsidR="00000000" w:rsidDel="00000000" w:rsidP="00000000" w:rsidRDefault="00000000" w:rsidRPr="00000000" w14:paraId="00000015">
      <w:pPr>
        <w:contextualSpacing w:val="0"/>
        <w:jc w:val="both"/>
        <w:rPr>
          <w:b w:val="1"/>
        </w:rPr>
      </w:pPr>
      <w:r w:rsidDel="00000000" w:rsidR="00000000" w:rsidRPr="00000000">
        <w:rPr>
          <w:b w:val="1"/>
          <w:rtl w:val="0"/>
        </w:rPr>
        <w:t xml:space="preserve">Tim Schadla-Hall</w:t>
      </w:r>
    </w:p>
    <w:p w:rsidR="00000000" w:rsidDel="00000000" w:rsidP="00000000" w:rsidRDefault="00000000" w:rsidRPr="00000000" w14:paraId="00000016">
      <w:pPr>
        <w:contextualSpacing w:val="0"/>
        <w:jc w:val="both"/>
        <w:rPr/>
      </w:pPr>
      <w:r w:rsidDel="00000000" w:rsidR="00000000" w:rsidRPr="00000000">
        <w:rPr>
          <w:rtl w:val="0"/>
        </w:rPr>
        <w:t xml:space="preserve">Institute of Archaeology, </w:t>
      </w:r>
      <w:r w:rsidDel="00000000" w:rsidR="00000000" w:rsidRPr="00000000">
        <w:rPr>
          <w:rtl w:val="0"/>
        </w:rPr>
        <w:t xml:space="preserve">31-34 Gordon Square, London WC1H 0PY UK</w:t>
      </w:r>
    </w:p>
    <w:p w:rsidR="00000000" w:rsidDel="00000000" w:rsidP="00000000" w:rsidRDefault="00000000" w:rsidRPr="00000000" w14:paraId="00000017">
      <w:pPr>
        <w:contextualSpacing w:val="0"/>
        <w:jc w:val="both"/>
        <w:rPr>
          <w:color w:val="000000"/>
        </w:rPr>
      </w:pPr>
      <w:hyperlink r:id="rId9">
        <w:r w:rsidDel="00000000" w:rsidR="00000000" w:rsidRPr="00000000">
          <w:rPr>
            <w:color w:val="0000ff"/>
            <w:u w:val="single"/>
            <w:rtl w:val="0"/>
          </w:rPr>
          <w:t xml:space="preserve">t.schadla-hall@ucl.ac.uk</w:t>
        </w:r>
      </w:hyperlink>
      <w:r w:rsidDel="00000000" w:rsidR="00000000" w:rsidRPr="00000000">
        <w:rPr>
          <w:rtl w:val="0"/>
        </w:rPr>
      </w:r>
    </w:p>
    <w:p w:rsidR="00000000" w:rsidDel="00000000" w:rsidP="00000000" w:rsidRDefault="00000000" w:rsidRPr="00000000" w14:paraId="00000018">
      <w:pPr>
        <w:contextualSpacing w:val="0"/>
        <w:jc w:val="both"/>
        <w:rPr/>
      </w:pPr>
      <w:r w:rsidDel="00000000" w:rsidR="00000000" w:rsidRPr="00000000">
        <w:rPr>
          <w:rtl w:val="0"/>
        </w:rPr>
      </w:r>
    </w:p>
    <w:p w:rsidR="00000000" w:rsidDel="00000000" w:rsidP="00000000" w:rsidRDefault="00000000" w:rsidRPr="00000000" w14:paraId="00000019">
      <w:pPr>
        <w:contextualSpacing w:val="0"/>
        <w:jc w:val="both"/>
        <w:rPr/>
      </w:pPr>
      <w:r w:rsidDel="00000000" w:rsidR="00000000" w:rsidRPr="00000000">
        <w:rPr>
          <w:rtl w:val="0"/>
        </w:rPr>
        <w:t xml:space="preserve">Tim Schadla-Hall is a Reader in Public Archaeology at the Institute of Archaeology. He worked in the Vale of Pickering from the 1970s, first at Seamer Carr and then in the 1980s</w:t>
      </w:r>
      <w:r w:rsidDel="00000000" w:rsidR="00000000" w:rsidRPr="00000000">
        <w:rPr>
          <w:rtl w:val="0"/>
        </w:rPr>
        <w:t xml:space="preserve"> he</w:t>
      </w:r>
      <w:r w:rsidDel="00000000" w:rsidR="00000000" w:rsidRPr="00000000">
        <w:rPr>
          <w:rtl w:val="0"/>
        </w:rPr>
        <w:t xml:space="preserve"> </w:t>
      </w:r>
      <w:r w:rsidDel="00000000" w:rsidR="00000000" w:rsidRPr="00000000">
        <w:rPr>
          <w:rtl w:val="0"/>
        </w:rPr>
        <w:t xml:space="preserve">established</w:t>
      </w:r>
      <w:r w:rsidDel="00000000" w:rsidR="00000000" w:rsidRPr="00000000">
        <w:rPr>
          <w:rtl w:val="0"/>
        </w:rPr>
        <w:t xml:space="preserve"> the Vale of Pickering Research Trust which mapped the extent of Lake Flixton and discovered a number of new Late Palaeolithic and Early Mesolithic sites around the edge of the palaeo-</w:t>
      </w:r>
      <w:r w:rsidDel="00000000" w:rsidR="00000000" w:rsidRPr="00000000">
        <w:rPr>
          <w:rtl w:val="0"/>
        </w:rPr>
        <w:t xml:space="preserve">l</w:t>
      </w:r>
      <w:r w:rsidDel="00000000" w:rsidR="00000000" w:rsidRPr="00000000">
        <w:rPr>
          <w:rtl w:val="0"/>
        </w:rPr>
        <w:t xml:space="preserve">ake. He also specialises in Public archaeology, post-mediaeval houses, politics and archaeology and museums. </w:t>
      </w:r>
    </w:p>
    <w:p w:rsidR="00000000" w:rsidDel="00000000" w:rsidP="00000000" w:rsidRDefault="00000000" w:rsidRPr="00000000" w14:paraId="0000001A">
      <w:pPr>
        <w:contextualSpacing w:val="0"/>
        <w:jc w:val="both"/>
        <w:rPr/>
      </w:pPr>
      <w:r w:rsidDel="00000000" w:rsidR="00000000" w:rsidRPr="00000000">
        <w:rPr>
          <w:rtl w:val="0"/>
        </w:rPr>
      </w:r>
    </w:p>
    <w:p w:rsidR="00000000" w:rsidDel="00000000" w:rsidP="00000000" w:rsidRDefault="00000000" w:rsidRPr="00000000" w14:paraId="0000001B">
      <w:pPr>
        <w:contextualSpacing w:val="0"/>
        <w:jc w:val="both"/>
        <w:rPr>
          <w:b w:val="1"/>
        </w:rPr>
      </w:pPr>
      <w:r w:rsidDel="00000000" w:rsidR="00000000" w:rsidRPr="00000000">
        <w:rPr>
          <w:b w:val="1"/>
          <w:rtl w:val="0"/>
        </w:rPr>
        <w:t xml:space="preserve">Harry K. </w:t>
      </w:r>
      <w:r w:rsidDel="00000000" w:rsidR="00000000" w:rsidRPr="00000000">
        <w:rPr>
          <w:b w:val="1"/>
          <w:rtl w:val="0"/>
        </w:rPr>
        <w:t xml:space="preserve">Robson</w:t>
      </w:r>
      <w:r w:rsidDel="00000000" w:rsidR="00000000" w:rsidRPr="00000000">
        <w:rPr>
          <w:rtl w:val="0"/>
        </w:rPr>
      </w:r>
    </w:p>
    <w:p w:rsidR="00000000" w:rsidDel="00000000" w:rsidP="00000000" w:rsidRDefault="00000000" w:rsidRPr="00000000" w14:paraId="0000001C">
      <w:pPr>
        <w:contextualSpacing w:val="0"/>
        <w:jc w:val="both"/>
        <w:rPr/>
      </w:pPr>
      <w:r w:rsidDel="00000000" w:rsidR="00000000" w:rsidRPr="00000000">
        <w:rPr>
          <w:rtl w:val="0"/>
        </w:rPr>
        <w:t xml:space="preserve">Department of Archaeology, The Kings Manor, University of York, York, YO1 7EP</w:t>
      </w:r>
    </w:p>
    <w:p w:rsidR="00000000" w:rsidDel="00000000" w:rsidP="00000000" w:rsidRDefault="00000000" w:rsidRPr="00000000" w14:paraId="0000001D">
      <w:pPr>
        <w:contextualSpacing w:val="0"/>
        <w:jc w:val="both"/>
        <w:rPr/>
      </w:pPr>
      <w:hyperlink r:id="rId10">
        <w:r w:rsidDel="00000000" w:rsidR="00000000" w:rsidRPr="00000000">
          <w:rPr>
            <w:color w:val="1155cc"/>
            <w:u w:val="single"/>
            <w:rtl w:val="0"/>
          </w:rPr>
          <w:t xml:space="preserve">harry.robson@york.ac.uk</w:t>
        </w:r>
      </w:hyperlink>
      <w:r w:rsidDel="00000000" w:rsidR="00000000" w:rsidRPr="00000000">
        <w:rPr>
          <w:rtl w:val="0"/>
        </w:rPr>
      </w:r>
    </w:p>
    <w:p w:rsidR="00000000" w:rsidDel="00000000" w:rsidP="00000000" w:rsidRDefault="00000000" w:rsidRPr="00000000" w14:paraId="0000001E">
      <w:pPr>
        <w:contextualSpacing w:val="0"/>
        <w:jc w:val="both"/>
        <w:rPr/>
      </w:pPr>
      <w:r w:rsidDel="00000000" w:rsidR="00000000" w:rsidRPr="00000000">
        <w:rPr>
          <w:rtl w:val="0"/>
        </w:rPr>
      </w:r>
    </w:p>
    <w:p w:rsidR="00000000" w:rsidDel="00000000" w:rsidP="00000000" w:rsidRDefault="00000000" w:rsidRPr="00000000" w14:paraId="0000001F">
      <w:pPr>
        <w:contextualSpacing w:val="0"/>
        <w:jc w:val="both"/>
        <w:rPr/>
      </w:pPr>
      <w:r w:rsidDel="00000000" w:rsidR="00000000" w:rsidRPr="00000000">
        <w:rPr>
          <w:rtl w:val="0"/>
        </w:rPr>
        <w:t xml:space="preserve">Harry Robson in a </w:t>
      </w:r>
      <w:r w:rsidDel="00000000" w:rsidR="00000000" w:rsidRPr="00000000">
        <w:rPr>
          <w:rtl w:val="0"/>
        </w:rPr>
        <w:t xml:space="preserve">British Academy Postdoctoral Fellow in the Department of Archaeology at the University of York. He is particularly interested in the exploitation of freshwater and marine resource exploitation during the Mesolithic and Neolithic periods, and is currently undertaking research on the use of pottery across the transition to agriculture using a range of molecular and isotopic techniques to determine culinary practices.</w:t>
      </w:r>
      <w:r w:rsidDel="00000000" w:rsidR="00000000" w:rsidRPr="00000000">
        <w:rPr>
          <w:rtl w:val="0"/>
        </w:rPr>
      </w:r>
    </w:p>
    <w:p w:rsidR="00000000" w:rsidDel="00000000" w:rsidP="00000000" w:rsidRDefault="00000000" w:rsidRPr="00000000" w14:paraId="00000020">
      <w:pPr>
        <w:contextualSpacing w:val="0"/>
        <w:jc w:val="both"/>
        <w:rPr>
          <w:color w:val="000000"/>
        </w:rPr>
      </w:pPr>
      <w:r w:rsidDel="00000000" w:rsidR="00000000" w:rsidRPr="00000000">
        <w:rPr>
          <w:rtl w:val="0"/>
        </w:rPr>
      </w:r>
    </w:p>
    <w:p w:rsidR="00000000" w:rsidDel="00000000" w:rsidP="00000000" w:rsidRDefault="00000000" w:rsidRPr="00000000" w14:paraId="00000021">
      <w:pPr>
        <w:contextualSpacing w:val="0"/>
        <w:jc w:val="both"/>
        <w:rPr/>
      </w:pPr>
      <w:r w:rsidDel="00000000" w:rsidR="00000000" w:rsidRPr="00000000">
        <w:rPr>
          <w:b w:val="1"/>
          <w:rtl w:val="0"/>
        </w:rPr>
        <w:t xml:space="preserve">Nicky Milner</w:t>
      </w:r>
      <w:r w:rsidDel="00000000" w:rsidR="00000000" w:rsidRPr="00000000">
        <w:rPr>
          <w:rtl w:val="0"/>
        </w:rPr>
      </w:r>
    </w:p>
    <w:p w:rsidR="00000000" w:rsidDel="00000000" w:rsidP="00000000" w:rsidRDefault="00000000" w:rsidRPr="00000000" w14:paraId="00000022">
      <w:pPr>
        <w:contextualSpacing w:val="0"/>
        <w:jc w:val="both"/>
        <w:rPr/>
      </w:pPr>
      <w:r w:rsidDel="00000000" w:rsidR="00000000" w:rsidRPr="00000000">
        <w:rPr>
          <w:rtl w:val="0"/>
        </w:rPr>
        <w:t xml:space="preserve">Department of Archaeology, The Kings Manor, University of York, York, YO1 7EP</w:t>
      </w:r>
    </w:p>
    <w:p w:rsidR="00000000" w:rsidDel="00000000" w:rsidP="00000000" w:rsidRDefault="00000000" w:rsidRPr="00000000" w14:paraId="00000023">
      <w:pPr>
        <w:contextualSpacing w:val="0"/>
        <w:jc w:val="both"/>
        <w:rPr/>
      </w:pPr>
      <w:hyperlink r:id="rId11">
        <w:r w:rsidDel="00000000" w:rsidR="00000000" w:rsidRPr="00000000">
          <w:rPr>
            <w:color w:val="0000ff"/>
            <w:u w:val="single"/>
            <w:rtl w:val="0"/>
          </w:rPr>
          <w:t xml:space="preserve">nicky.milner@york.ac.uk</w:t>
        </w:r>
      </w:hyperlink>
      <w:r w:rsidDel="00000000" w:rsidR="00000000" w:rsidRPr="00000000">
        <w:rPr>
          <w:rtl w:val="0"/>
        </w:rPr>
        <w:t xml:space="preserve">, </w:t>
      </w:r>
    </w:p>
    <w:p w:rsidR="00000000" w:rsidDel="00000000" w:rsidP="00000000" w:rsidRDefault="00000000" w:rsidRPr="00000000" w14:paraId="00000024">
      <w:pPr>
        <w:contextualSpacing w:val="0"/>
        <w:jc w:val="both"/>
        <w:rPr/>
      </w:pPr>
      <w:r w:rsidDel="00000000" w:rsidR="00000000" w:rsidRPr="00000000">
        <w:rPr>
          <w:rtl w:val="0"/>
        </w:rPr>
      </w:r>
    </w:p>
    <w:p w:rsidR="00000000" w:rsidDel="00000000" w:rsidP="00000000" w:rsidRDefault="00000000" w:rsidRPr="00000000" w14:paraId="00000025">
      <w:pPr>
        <w:contextualSpacing w:val="0"/>
        <w:jc w:val="both"/>
        <w:rPr/>
      </w:pPr>
      <w:r w:rsidDel="00000000" w:rsidR="00000000" w:rsidRPr="00000000">
        <w:rPr>
          <w:rtl w:val="0"/>
        </w:rPr>
        <w:t xml:space="preserve">Nicky Milner is a Professor in Prehistory at the University of York. She is principal investigator of the ERC funded POSTGLACIAL project, which has involved excavating the Early Mesolithic site of Star Carr and the Late Palaeolithic site of Flixton Island. She was also a co-director of the excavations at Howick, Northumberland and at Baylet shell midden in Ireland. </w:t>
      </w:r>
    </w:p>
    <w:p w:rsidR="00000000" w:rsidDel="00000000" w:rsidP="00000000" w:rsidRDefault="00000000" w:rsidRPr="00000000" w14:paraId="00000026">
      <w:pPr>
        <w:contextualSpacing w:val="0"/>
        <w:jc w:val="both"/>
        <w:rPr/>
      </w:pPr>
      <w:r w:rsidDel="00000000" w:rsidR="00000000" w:rsidRPr="00000000">
        <w:rPr>
          <w:rtl w:val="0"/>
        </w:rPr>
      </w:r>
    </w:p>
    <w:p w:rsidR="00000000" w:rsidDel="00000000" w:rsidP="00000000" w:rsidRDefault="00000000" w:rsidRPr="00000000" w14:paraId="00000027">
      <w:pPr>
        <w:contextualSpacing w:val="0"/>
        <w:jc w:val="both"/>
        <w:rPr/>
      </w:pPr>
      <w:r w:rsidDel="00000000" w:rsidR="00000000" w:rsidRPr="00000000">
        <w:rPr>
          <w:rtl w:val="0"/>
        </w:rPr>
      </w:r>
    </w:p>
    <w:p w:rsidR="00000000" w:rsidDel="00000000" w:rsidP="00000000" w:rsidRDefault="00000000" w:rsidRPr="00000000" w14:paraId="00000028">
      <w:pPr>
        <w:contextualSpacing w:val="0"/>
        <w:jc w:val="both"/>
        <w:rPr/>
      </w:pPr>
      <w:r w:rsidDel="00000000" w:rsidR="00000000" w:rsidRPr="00000000">
        <w:rPr>
          <w:rtl w:val="0"/>
        </w:rPr>
        <w:t xml:space="preserve">Abstract </w:t>
      </w:r>
      <w:r w:rsidDel="00000000" w:rsidR="00000000" w:rsidRPr="00000000">
        <w:rPr>
          <w:color w:val="ff0000"/>
          <w:sz w:val="20"/>
          <w:szCs w:val="20"/>
          <w:rtl w:val="0"/>
        </w:rPr>
        <w:t xml:space="preserve">[H2]</w:t>
      </w:r>
      <w:r w:rsidDel="00000000" w:rsidR="00000000" w:rsidRPr="00000000">
        <w:rPr>
          <w:rtl w:val="0"/>
        </w:rPr>
      </w:r>
    </w:p>
    <w:p w:rsidR="00000000" w:rsidDel="00000000" w:rsidP="00000000" w:rsidRDefault="00000000" w:rsidRPr="00000000" w14:paraId="00000029">
      <w:pPr>
        <w:contextualSpacing w:val="0"/>
        <w:jc w:val="both"/>
        <w:rPr/>
      </w:pPr>
      <w:r w:rsidDel="00000000" w:rsidR="00000000" w:rsidRPr="00000000">
        <w:rPr>
          <w:rtl w:val="0"/>
        </w:rPr>
      </w:r>
    </w:p>
    <w:p w:rsidR="00000000" w:rsidDel="00000000" w:rsidP="00000000" w:rsidRDefault="00000000" w:rsidRPr="00000000" w14:paraId="0000002A">
      <w:pPr>
        <w:contextualSpacing w:val="0"/>
        <w:jc w:val="both"/>
        <w:rPr/>
      </w:pPr>
      <w:r w:rsidDel="00000000" w:rsidR="00000000" w:rsidRPr="00000000">
        <w:rPr>
          <w:rtl w:val="0"/>
        </w:rPr>
        <w:t xml:space="preserve">Skipsea Withow is well known for producing a barbed point and faunal remains, thought to date to the Early Mesolithic period, over a century ago. More recently bones were recovered from the eroding cliff face and have been analysed. Although it was considered that they might be elk (</w:t>
      </w:r>
      <w:r w:rsidDel="00000000" w:rsidR="00000000" w:rsidRPr="00000000">
        <w:rPr>
          <w:i w:val="1"/>
          <w:rtl w:val="0"/>
        </w:rPr>
        <w:t xml:space="preserve">Alces alces</w:t>
      </w:r>
      <w:r w:rsidDel="00000000" w:rsidR="00000000" w:rsidRPr="00000000">
        <w:rPr>
          <w:rtl w:val="0"/>
        </w:rPr>
        <w:t xml:space="preserve">) due to their large size, it was demonstrated that they are red deer (</w:t>
      </w:r>
      <w:r w:rsidDel="00000000" w:rsidR="00000000" w:rsidRPr="00000000">
        <w:rPr>
          <w:i w:val="1"/>
          <w:rtl w:val="0"/>
        </w:rPr>
        <w:t xml:space="preserve">Cervus elaphus</w:t>
      </w:r>
      <w:r w:rsidDel="00000000" w:rsidR="00000000" w:rsidRPr="00000000">
        <w:rPr>
          <w:rtl w:val="0"/>
        </w:rPr>
        <w:t xml:space="preserve">). Further examination suggested that they represent two individuals of slightly different ages. They have been dated to the Early Mesolithic period and the dates overlap with those obtained from the well-known site of Star Carr, located further north in the Vale of Pickering. It is considered unlikely that the red deer bones from Skipsea Withow represent two natural deaths on the edge of the mere and it is possible that they are the remains of humanly deposited bones; a practice seen at Star Carr.  </w:t>
      </w:r>
    </w:p>
    <w:p w:rsidR="00000000" w:rsidDel="00000000" w:rsidP="00000000" w:rsidRDefault="00000000" w:rsidRPr="00000000" w14:paraId="0000002B">
      <w:pPr>
        <w:contextualSpacing w:val="0"/>
        <w:jc w:val="both"/>
        <w:rPr/>
      </w:pPr>
      <w:r w:rsidDel="00000000" w:rsidR="00000000" w:rsidRPr="00000000">
        <w:rPr>
          <w:rtl w:val="0"/>
        </w:rPr>
      </w:r>
    </w:p>
    <w:p w:rsidR="00000000" w:rsidDel="00000000" w:rsidP="00000000" w:rsidRDefault="00000000" w:rsidRPr="00000000" w14:paraId="0000002C">
      <w:pPr>
        <w:contextualSpacing w:val="0"/>
        <w:jc w:val="both"/>
        <w:rPr/>
      </w:pPr>
      <w:r w:rsidDel="00000000" w:rsidR="00000000" w:rsidRPr="00000000">
        <w:rPr>
          <w:rtl w:val="0"/>
        </w:rPr>
        <w:t xml:space="preserve">Keywords: Skipsea Withow, red deer, Mesolithic, Preboreal, Star Carr, barbed point</w:t>
      </w:r>
    </w:p>
    <w:p w:rsidR="00000000" w:rsidDel="00000000" w:rsidP="00000000" w:rsidRDefault="00000000" w:rsidRPr="00000000" w14:paraId="0000002D">
      <w:pPr>
        <w:contextualSpacing w:val="0"/>
        <w:jc w:val="both"/>
        <w:rPr/>
      </w:pPr>
      <w:r w:rsidDel="00000000" w:rsidR="00000000" w:rsidRPr="00000000">
        <w:rPr>
          <w:rtl w:val="0"/>
        </w:rPr>
      </w:r>
    </w:p>
    <w:p w:rsidR="00000000" w:rsidDel="00000000" w:rsidP="00000000" w:rsidRDefault="00000000" w:rsidRPr="00000000" w14:paraId="0000002E">
      <w:pPr>
        <w:contextualSpacing w:val="0"/>
        <w:jc w:val="both"/>
        <w:rPr/>
      </w:pPr>
      <w:r w:rsidDel="00000000" w:rsidR="00000000" w:rsidRPr="00000000">
        <w:rPr>
          <w:rtl w:val="0"/>
        </w:rPr>
      </w:r>
    </w:p>
    <w:p w:rsidR="00000000" w:rsidDel="00000000" w:rsidP="00000000" w:rsidRDefault="00000000" w:rsidRPr="00000000" w14:paraId="0000002F">
      <w:pPr>
        <w:contextualSpacing w:val="0"/>
        <w:jc w:val="both"/>
        <w:rPr/>
      </w:pPr>
      <w:r w:rsidDel="00000000" w:rsidR="00000000" w:rsidRPr="00000000">
        <w:rPr>
          <w:rtl w:val="0"/>
        </w:rPr>
        <w:t xml:space="preserve">Introduction </w:t>
      </w:r>
      <w:r w:rsidDel="00000000" w:rsidR="00000000" w:rsidRPr="00000000">
        <w:rPr>
          <w:color w:val="ff0000"/>
          <w:sz w:val="20"/>
          <w:szCs w:val="20"/>
          <w:rtl w:val="0"/>
        </w:rPr>
        <w:t xml:space="preserve">[H2]</w:t>
      </w:r>
      <w:r w:rsidDel="00000000" w:rsidR="00000000" w:rsidRPr="00000000">
        <w:rPr>
          <w:rtl w:val="0"/>
        </w:rPr>
      </w:r>
    </w:p>
    <w:p w:rsidR="00000000" w:rsidDel="00000000" w:rsidP="00000000" w:rsidRDefault="00000000" w:rsidRPr="00000000" w14:paraId="00000030">
      <w:pPr>
        <w:contextualSpacing w:val="0"/>
        <w:jc w:val="both"/>
        <w:rPr/>
      </w:pPr>
      <w:r w:rsidDel="00000000" w:rsidR="00000000" w:rsidRPr="00000000">
        <w:rPr>
          <w:rtl w:val="0"/>
        </w:rPr>
      </w:r>
    </w:p>
    <w:p w:rsidR="00000000" w:rsidDel="00000000" w:rsidP="00000000" w:rsidRDefault="00000000" w:rsidRPr="00000000" w14:paraId="00000031">
      <w:pPr>
        <w:contextualSpacing w:val="0"/>
        <w:jc w:val="both"/>
        <w:rPr/>
      </w:pPr>
      <w:r w:rsidDel="00000000" w:rsidR="00000000" w:rsidRPr="00000000">
        <w:rPr>
          <w:rtl w:val="0"/>
        </w:rPr>
        <w:t xml:space="preserve">The history of collecting archaeological material from peat deposits eroding at the low cliffs of Skipsea, East Yorkshire, dates back to the early 20</w:t>
      </w:r>
      <w:r w:rsidDel="00000000" w:rsidR="00000000" w:rsidRPr="00000000">
        <w:rPr>
          <w:vertAlign w:val="superscript"/>
          <w:rtl w:val="0"/>
        </w:rPr>
        <w:t xml:space="preserve">th</w:t>
      </w:r>
      <w:r w:rsidDel="00000000" w:rsidR="00000000" w:rsidRPr="00000000">
        <w:rPr>
          <w:rtl w:val="0"/>
        </w:rPr>
        <w:t xml:space="preserve"> century. In September 1903, Mr B. Moffitt  recovered a uniserial barbed point from an area known as Skipsea Withow. Skipsea Withow is the site of a former mere, actively eroding away at the face of the Skipsea cliffs (Figure 1). It forms part of an extensive series of meres within the Holderness region, which featured several areas of open water until the relatively recent </w:t>
      </w:r>
      <w:r w:rsidDel="00000000" w:rsidR="00000000" w:rsidRPr="00000000">
        <w:rPr>
          <w:color w:val="000000"/>
          <w:rtl w:val="0"/>
        </w:rPr>
        <w:t xml:space="preserve">past (Van De Noort and Ellis 1995) (Figure 2). The earliest reports on Moffitt’s excavations contain references to a sequence of silt overlain by peat;</w:t>
      </w:r>
      <w:r w:rsidDel="00000000" w:rsidR="00000000" w:rsidRPr="00000000">
        <w:rPr>
          <w:rtl w:val="0"/>
        </w:rPr>
        <w:t xml:space="preserve"> the silt layer containing the barbed point itself and the preserved remains of red deer</w:t>
      </w:r>
      <w:r w:rsidDel="00000000" w:rsidR="00000000" w:rsidRPr="00000000">
        <w:rPr>
          <w:rtl w:val="0"/>
        </w:rPr>
        <w:t xml:space="preserve">, reindeer (</w:t>
      </w:r>
      <w:r w:rsidDel="00000000" w:rsidR="00000000" w:rsidRPr="00000000">
        <w:rPr>
          <w:i w:val="1"/>
          <w:rtl w:val="0"/>
        </w:rPr>
        <w:t xml:space="preserve">Ragnifer tarandus</w:t>
      </w:r>
      <w:r w:rsidDel="00000000" w:rsidR="00000000" w:rsidRPr="00000000">
        <w:rPr>
          <w:rtl w:val="0"/>
        </w:rPr>
        <w:t xml:space="preserve">) and </w:t>
      </w:r>
      <w:r w:rsidDel="00000000" w:rsidR="00000000" w:rsidRPr="00000000">
        <w:rPr>
          <w:rtl w:val="0"/>
        </w:rPr>
        <w:t xml:space="preserve">northern </w:t>
      </w:r>
      <w:r w:rsidDel="00000000" w:rsidR="00000000" w:rsidRPr="00000000">
        <w:rPr>
          <w:rtl w:val="0"/>
        </w:rPr>
        <w:t xml:space="preserve">pike (</w:t>
      </w:r>
      <w:r w:rsidDel="00000000" w:rsidR="00000000" w:rsidRPr="00000000">
        <w:rPr>
          <w:i w:val="1"/>
          <w:rtl w:val="0"/>
        </w:rPr>
        <w:t xml:space="preserve">Esox lucius</w:t>
      </w:r>
      <w:r w:rsidDel="00000000" w:rsidR="00000000" w:rsidRPr="00000000">
        <w:rPr>
          <w:rtl w:val="0"/>
        </w:rPr>
        <w:t xml:space="preserve">). The overlying peat deposits contained the semi-articulated remains of an elk </w:t>
      </w:r>
      <w:hyperlink r:id="rId12">
        <w:r w:rsidDel="00000000" w:rsidR="00000000" w:rsidRPr="00000000">
          <w:rPr>
            <w:rtl w:val="0"/>
          </w:rPr>
          <w:t xml:space="preserve">(Armstrong 1922)</w:t>
        </w:r>
      </w:hyperlink>
      <w:r w:rsidDel="00000000" w:rsidR="00000000" w:rsidRPr="00000000">
        <w:rPr>
          <w:rtl w:val="0"/>
        </w:rPr>
        <w:t xml:space="preserve">.</w:t>
      </w:r>
    </w:p>
    <w:p w:rsidR="00000000" w:rsidDel="00000000" w:rsidP="00000000" w:rsidRDefault="00000000" w:rsidRPr="00000000" w14:paraId="00000032">
      <w:pPr>
        <w:contextualSpacing w:val="0"/>
        <w:jc w:val="both"/>
        <w:rPr/>
      </w:pPr>
      <w:r w:rsidDel="00000000" w:rsidR="00000000" w:rsidRPr="00000000">
        <w:rPr>
          <w:rtl w:val="0"/>
        </w:rPr>
      </w:r>
    </w:p>
    <w:p w:rsidR="00000000" w:rsidDel="00000000" w:rsidP="00000000" w:rsidRDefault="00000000" w:rsidRPr="00000000" w14:paraId="00000033">
      <w:pPr>
        <w:contextualSpacing w:val="0"/>
        <w:jc w:val="both"/>
        <w:rPr>
          <w:color w:val="ff0000"/>
          <w:sz w:val="20"/>
          <w:szCs w:val="20"/>
        </w:rPr>
      </w:pPr>
      <w:r w:rsidDel="00000000" w:rsidR="00000000" w:rsidRPr="00000000">
        <w:rPr>
          <w:color w:val="ff0000"/>
          <w:sz w:val="20"/>
          <w:szCs w:val="20"/>
          <w:rtl w:val="0"/>
        </w:rPr>
        <w:t xml:space="preserve">[Figure 1 about here]</w:t>
      </w:r>
    </w:p>
    <w:p w:rsidR="00000000" w:rsidDel="00000000" w:rsidP="00000000" w:rsidRDefault="00000000" w:rsidRPr="00000000" w14:paraId="00000034">
      <w:pPr>
        <w:contextualSpacing w:val="0"/>
        <w:jc w:val="both"/>
        <w:rPr/>
      </w:pPr>
      <w:r w:rsidDel="00000000" w:rsidR="00000000" w:rsidRPr="00000000">
        <w:rPr>
          <w:rtl w:val="0"/>
        </w:rPr>
      </w:r>
    </w:p>
    <w:p w:rsidR="00000000" w:rsidDel="00000000" w:rsidP="00000000" w:rsidRDefault="00000000" w:rsidRPr="00000000" w14:paraId="00000035">
      <w:pPr>
        <w:contextualSpacing w:val="0"/>
        <w:jc w:val="both"/>
        <w:rPr>
          <w:color w:val="ff0000"/>
          <w:sz w:val="20"/>
          <w:szCs w:val="20"/>
        </w:rPr>
      </w:pPr>
      <w:r w:rsidDel="00000000" w:rsidR="00000000" w:rsidRPr="00000000">
        <w:rPr>
          <w:color w:val="ff0000"/>
          <w:sz w:val="20"/>
          <w:szCs w:val="20"/>
          <w:rtl w:val="0"/>
        </w:rPr>
        <w:t xml:space="preserve">[Figure 2 about here]</w:t>
      </w:r>
    </w:p>
    <w:p w:rsidR="00000000" w:rsidDel="00000000" w:rsidP="00000000" w:rsidRDefault="00000000" w:rsidRPr="00000000" w14:paraId="00000036">
      <w:pPr>
        <w:contextualSpacing w:val="0"/>
        <w:jc w:val="both"/>
        <w:rPr/>
      </w:pPr>
      <w:r w:rsidDel="00000000" w:rsidR="00000000" w:rsidRPr="00000000">
        <w:rPr>
          <w:rtl w:val="0"/>
        </w:rPr>
      </w:r>
    </w:p>
    <w:p w:rsidR="00000000" w:rsidDel="00000000" w:rsidP="00000000" w:rsidRDefault="00000000" w:rsidRPr="00000000" w14:paraId="00000037">
      <w:pPr>
        <w:contextualSpacing w:val="0"/>
        <w:jc w:val="both"/>
        <w:rPr/>
      </w:pPr>
      <w:r w:rsidDel="00000000" w:rsidR="00000000" w:rsidRPr="00000000">
        <w:rPr>
          <w:rtl w:val="0"/>
        </w:rPr>
        <w:t xml:space="preserve">Discussions of Mesolithic activity at Skipsea Withow have been largely focused on the bone barbed point, with its initial publication being greeted with a heated debate over its authenticity which was at least partly the result of the antipathy that Tom Sheppard (curator of Hull Museum) had towards Moffitt and his sons (Sitch and Jacobi 1999). After prolonged consideration, the Royal Anthropological Institute assembled a panel of experts to review the arguments, and concluded that there was no evidence to suggest that the artefact was a forgery </w:t>
      </w:r>
      <w:hyperlink r:id="rId13">
        <w:r w:rsidDel="00000000" w:rsidR="00000000" w:rsidRPr="00000000">
          <w:rPr>
            <w:rtl w:val="0"/>
          </w:rPr>
          <w:t xml:space="preserve">(Read, Woodward, and Kendall 1923)</w:t>
        </w:r>
      </w:hyperlink>
      <w:r w:rsidDel="00000000" w:rsidR="00000000" w:rsidRPr="00000000">
        <w:rPr>
          <w:rtl w:val="0"/>
        </w:rPr>
        <w:t xml:space="preserve">. Subsequent discussions of the find have compared them to similar uniserial barbed points distributed along the East Coast of Britain and stressed their typological affinities to Maglemosian barbed points of the Southern Scandinavian Early Mesolithic </w:t>
      </w:r>
      <w:hyperlink r:id="rId14">
        <w:r w:rsidDel="00000000" w:rsidR="00000000" w:rsidRPr="00000000">
          <w:rPr>
            <w:rtl w:val="0"/>
          </w:rPr>
          <w:t xml:space="preserve">(Armstrong 1923; Godwin and Godwin 1933; Clark and Godwin 1956; Jacobi 1976; Wymer, Jacobi, and Rose 1975; Sheldrick, Lowe, and Reynier 1997)</w:t>
        </w:r>
      </w:hyperlink>
      <w:r w:rsidDel="00000000" w:rsidR="00000000" w:rsidRPr="00000000">
        <w:rPr>
          <w:rtl w:val="0"/>
        </w:rPr>
        <w:t xml:space="preserve">. The Skipsea Withow barbed point forms part of a larger collection of Late Palaeolithic/Early Mesolithic barbed points of bone and antler that have been recovered from the wetlands of Hornsea, Skipsea and Brandesburton, which have sparked collective comparisons with the large assemblage of artefacts from Star Carr </w:t>
      </w:r>
      <w:hyperlink r:id="rId15">
        <w:r w:rsidDel="00000000" w:rsidR="00000000" w:rsidRPr="00000000">
          <w:rPr>
            <w:rtl w:val="0"/>
          </w:rPr>
          <w:t xml:space="preserve">(Davis-King 1980; Radley 1969; Wymer, Jacobi, and Rose 1975)</w:t>
        </w:r>
      </w:hyperlink>
      <w:r w:rsidDel="00000000" w:rsidR="00000000" w:rsidRPr="00000000">
        <w:rPr>
          <w:rtl w:val="0"/>
        </w:rPr>
        <w:t xml:space="preserve">.</w:t>
      </w:r>
    </w:p>
    <w:p w:rsidR="00000000" w:rsidDel="00000000" w:rsidP="00000000" w:rsidRDefault="00000000" w:rsidRPr="00000000" w14:paraId="00000038">
      <w:pPr>
        <w:contextualSpacing w:val="0"/>
        <w:jc w:val="both"/>
        <w:rPr/>
      </w:pPr>
      <w:r w:rsidDel="00000000" w:rsidR="00000000" w:rsidRPr="00000000">
        <w:rPr>
          <w:rtl w:val="0"/>
        </w:rPr>
      </w:r>
    </w:p>
    <w:p w:rsidR="00000000" w:rsidDel="00000000" w:rsidP="00000000" w:rsidRDefault="00000000" w:rsidRPr="00000000" w14:paraId="00000039">
      <w:pPr>
        <w:contextualSpacing w:val="0"/>
        <w:jc w:val="both"/>
        <w:rPr/>
      </w:pPr>
      <w:r w:rsidDel="00000000" w:rsidR="00000000" w:rsidRPr="00000000">
        <w:rPr>
          <w:rtl w:val="0"/>
        </w:rPr>
        <w:t xml:space="preserve">Analysis of the fauna from Skipsea Withow has been somewhat limited and this may be linked to the accessibility of the material. The animal remains were originally displayed at the family's Cottage in Atwick, before being passed over to Hornsea Library following Beaumont Mofitt’s death (T. Manby pers. comms). The current whereabouts of this material is unknown and this somewhat fractured history of curation may have played a role in suppressing academic discussions of the animal bones.</w:t>
      </w:r>
    </w:p>
    <w:p w:rsidR="00000000" w:rsidDel="00000000" w:rsidP="00000000" w:rsidRDefault="00000000" w:rsidRPr="00000000" w14:paraId="0000003A">
      <w:pPr>
        <w:contextualSpacing w:val="0"/>
        <w:jc w:val="both"/>
        <w:rPr/>
      </w:pPr>
      <w:r w:rsidDel="00000000" w:rsidR="00000000" w:rsidRPr="00000000">
        <w:rPr>
          <w:rtl w:val="0"/>
        </w:rPr>
      </w:r>
    </w:p>
    <w:p w:rsidR="00000000" w:rsidDel="00000000" w:rsidP="00000000" w:rsidRDefault="00000000" w:rsidRPr="00000000" w14:paraId="0000003B">
      <w:pPr>
        <w:contextualSpacing w:val="0"/>
        <w:jc w:val="both"/>
        <w:rPr>
          <w:color w:val="000000"/>
        </w:rPr>
      </w:pPr>
      <w:r w:rsidDel="00000000" w:rsidR="00000000" w:rsidRPr="00000000">
        <w:rPr>
          <w:rtl w:val="0"/>
        </w:rPr>
        <w:t xml:space="preserve">In absence of the animal remains, discussions of the palaeoenvironmental context of the Moffitt finds has instead hinged upon multi-spectra sedimentological analyses. Godwin and Godwin (1933) used the Skipsea Withow peat sequence to pioneer the use of pollen dating in an attempt to link the Skipsea barbed point to those from the Southern Scandinavian Maglemosian sites on the basis of similar environmental conditions. However, their ascription of these peat deposits as “Late Boreal” was subsequently challenged by Gilbertson (1984) who undertook a programme of plant macrofossil, pollen, sediment and stratigraphic analysis at the site. This established a more secure depositional sequence for the site which began during the Windermere Interstadial and which encompassed fluctuations in water level and climate change right through to the present day. Within this model of the environmental history of Skipsea Withow, the fauna and artefacts recovered by Moffitt were deposited within Early Holocene organic brown silts, at a time of high lake water levels and associated with a radiocarbon measurement of 9650-9250 cal BC (SRR-1944, 9880±60, 95% probability). More recent survey work at Skipsea has demonstrated a wide distribution of Mesolithic surface finds across the region and suggests a persistent exploitation of the Skipsea wetland environments throughout the </w:t>
      </w:r>
      <w:r w:rsidDel="00000000" w:rsidR="00000000" w:rsidRPr="00000000">
        <w:rPr>
          <w:color w:val="000000"/>
          <w:rtl w:val="0"/>
        </w:rPr>
        <w:t xml:space="preserve">period (Van De Noort and Ellis 1995).</w:t>
      </w:r>
    </w:p>
    <w:p w:rsidR="00000000" w:rsidDel="00000000" w:rsidP="00000000" w:rsidRDefault="00000000" w:rsidRPr="00000000" w14:paraId="0000003C">
      <w:pPr>
        <w:contextualSpacing w:val="0"/>
        <w:jc w:val="both"/>
        <w:rPr/>
      </w:pPr>
      <w:r w:rsidDel="00000000" w:rsidR="00000000" w:rsidRPr="00000000">
        <w:rPr>
          <w:rtl w:val="0"/>
        </w:rPr>
      </w:r>
    </w:p>
    <w:p w:rsidR="00000000" w:rsidDel="00000000" w:rsidP="00000000" w:rsidRDefault="00000000" w:rsidRPr="00000000" w14:paraId="0000003D">
      <w:pPr>
        <w:contextualSpacing w:val="0"/>
        <w:jc w:val="both"/>
        <w:rPr/>
      </w:pPr>
      <w:r w:rsidDel="00000000" w:rsidR="00000000" w:rsidRPr="00000000">
        <w:rPr>
          <w:rtl w:val="0"/>
        </w:rPr>
        <w:t xml:space="preserve">Discovery of new bones</w:t>
      </w:r>
      <w:r w:rsidDel="00000000" w:rsidR="00000000" w:rsidRPr="00000000">
        <w:rPr>
          <w:b w:val="1"/>
          <w:rtl w:val="0"/>
        </w:rPr>
        <w:t xml:space="preserve"> </w:t>
      </w:r>
      <w:r w:rsidDel="00000000" w:rsidR="00000000" w:rsidRPr="00000000">
        <w:rPr>
          <w:color w:val="ff0000"/>
          <w:sz w:val="20"/>
          <w:szCs w:val="20"/>
          <w:rtl w:val="0"/>
        </w:rPr>
        <w:t xml:space="preserve">[H2]</w:t>
      </w:r>
      <w:r w:rsidDel="00000000" w:rsidR="00000000" w:rsidRPr="00000000">
        <w:rPr>
          <w:rtl w:val="0"/>
        </w:rPr>
      </w:r>
    </w:p>
    <w:p w:rsidR="00000000" w:rsidDel="00000000" w:rsidP="00000000" w:rsidRDefault="00000000" w:rsidRPr="00000000" w14:paraId="0000003E">
      <w:pPr>
        <w:contextualSpacing w:val="0"/>
        <w:jc w:val="both"/>
        <w:rPr/>
      </w:pPr>
      <w:r w:rsidDel="00000000" w:rsidR="00000000" w:rsidRPr="00000000">
        <w:rPr>
          <w:rtl w:val="0"/>
        </w:rPr>
      </w:r>
    </w:p>
    <w:p w:rsidR="00000000" w:rsidDel="00000000" w:rsidP="00000000" w:rsidRDefault="00000000" w:rsidRPr="00000000" w14:paraId="0000003F">
      <w:pPr>
        <w:contextualSpacing w:val="0"/>
        <w:jc w:val="both"/>
        <w:rPr/>
      </w:pPr>
      <w:r w:rsidDel="00000000" w:rsidR="00000000" w:rsidRPr="00000000">
        <w:rPr>
          <w:rtl w:val="0"/>
        </w:rPr>
        <w:t xml:space="preserve">In September 2012, a small assemblage of animal bones was found by SC eroding out of the cliffs at Skipsea. They were found within blue-grey clay deposits beneath a thick layer of peat. The broken rib bones were anatomically aligned. Large pieces of wood and roundwood with a smaller diameter were also observed within the peat (Figure 3). The discovery was reported to the Humber Field Archaeology Unit in Hull; however, due to the short notice a team were not able to mobilise in time before high-tide. They therefore advised the finder to remove them before they were lost to the sea. These remains were shown to TSH who had excavated peat deposits in the Vale of Pickering, including at Star Carr and Seamer, and who suggested they were looked at by BK and NM at the University of York. This paper sets out the results of bone analysis and radiocarbon dating.</w:t>
      </w:r>
    </w:p>
    <w:p w:rsidR="00000000" w:rsidDel="00000000" w:rsidP="00000000" w:rsidRDefault="00000000" w:rsidRPr="00000000" w14:paraId="00000040">
      <w:pPr>
        <w:contextualSpacing w:val="0"/>
        <w:jc w:val="both"/>
        <w:rPr/>
      </w:pPr>
      <w:r w:rsidDel="00000000" w:rsidR="00000000" w:rsidRPr="00000000">
        <w:rPr>
          <w:rtl w:val="0"/>
        </w:rPr>
      </w:r>
    </w:p>
    <w:p w:rsidR="00000000" w:rsidDel="00000000" w:rsidP="00000000" w:rsidRDefault="00000000" w:rsidRPr="00000000" w14:paraId="00000041">
      <w:pPr>
        <w:contextualSpacing w:val="0"/>
        <w:jc w:val="both"/>
        <w:rPr/>
      </w:pPr>
      <w:r w:rsidDel="00000000" w:rsidR="00000000" w:rsidRPr="00000000">
        <w:rPr>
          <w:color w:val="ff0000"/>
          <w:sz w:val="20"/>
          <w:szCs w:val="20"/>
          <w:rtl w:val="0"/>
        </w:rPr>
        <w:t xml:space="preserve">[Figure 3 about here]</w:t>
      </w:r>
      <w:r w:rsidDel="00000000" w:rsidR="00000000" w:rsidRPr="00000000">
        <w:rPr>
          <w:rtl w:val="0"/>
        </w:rPr>
      </w:r>
    </w:p>
    <w:p w:rsidR="00000000" w:rsidDel="00000000" w:rsidP="00000000" w:rsidRDefault="00000000" w:rsidRPr="00000000" w14:paraId="00000042">
      <w:pPr>
        <w:contextualSpacing w:val="0"/>
        <w:jc w:val="both"/>
        <w:rPr/>
      </w:pPr>
      <w:r w:rsidDel="00000000" w:rsidR="00000000" w:rsidRPr="00000000">
        <w:rPr>
          <w:rtl w:val="0"/>
        </w:rPr>
      </w:r>
    </w:p>
    <w:p w:rsidR="00000000" w:rsidDel="00000000" w:rsidP="00000000" w:rsidRDefault="00000000" w:rsidRPr="00000000" w14:paraId="00000043">
      <w:pPr>
        <w:contextualSpacing w:val="0"/>
        <w:jc w:val="both"/>
        <w:rPr/>
      </w:pPr>
      <w:r w:rsidDel="00000000" w:rsidR="00000000" w:rsidRPr="00000000">
        <w:rPr>
          <w:rtl w:val="0"/>
        </w:rPr>
        <w:t xml:space="preserve">Results </w:t>
      </w:r>
      <w:r w:rsidDel="00000000" w:rsidR="00000000" w:rsidRPr="00000000">
        <w:rPr>
          <w:color w:val="ff0000"/>
          <w:sz w:val="20"/>
          <w:szCs w:val="20"/>
          <w:rtl w:val="0"/>
        </w:rPr>
        <w:t xml:space="preserve">[H2]</w:t>
      </w:r>
      <w:r w:rsidDel="00000000" w:rsidR="00000000" w:rsidRPr="00000000">
        <w:rPr>
          <w:rtl w:val="0"/>
        </w:rPr>
      </w:r>
    </w:p>
    <w:p w:rsidR="00000000" w:rsidDel="00000000" w:rsidP="00000000" w:rsidRDefault="00000000" w:rsidRPr="00000000" w14:paraId="00000044">
      <w:pPr>
        <w:contextualSpacing w:val="0"/>
        <w:jc w:val="both"/>
        <w:rPr/>
      </w:pPr>
      <w:r w:rsidDel="00000000" w:rsidR="00000000" w:rsidRPr="00000000">
        <w:rPr>
          <w:rtl w:val="0"/>
        </w:rPr>
      </w:r>
    </w:p>
    <w:p w:rsidR="00000000" w:rsidDel="00000000" w:rsidP="00000000" w:rsidRDefault="00000000" w:rsidRPr="00000000" w14:paraId="00000045">
      <w:pPr>
        <w:contextualSpacing w:val="0"/>
        <w:jc w:val="both"/>
        <w:rPr/>
      </w:pPr>
      <w:r w:rsidDel="00000000" w:rsidR="00000000" w:rsidRPr="00000000">
        <w:rPr>
          <w:rtl w:val="0"/>
        </w:rPr>
        <w:t xml:space="preserve">Faunal remains </w:t>
      </w:r>
      <w:r w:rsidDel="00000000" w:rsidR="00000000" w:rsidRPr="00000000">
        <w:rPr>
          <w:color w:val="ff0000"/>
          <w:sz w:val="20"/>
          <w:szCs w:val="20"/>
          <w:rtl w:val="0"/>
        </w:rPr>
        <w:t xml:space="preserve">[H3]</w:t>
      </w:r>
      <w:r w:rsidDel="00000000" w:rsidR="00000000" w:rsidRPr="00000000">
        <w:rPr>
          <w:rtl w:val="0"/>
        </w:rPr>
      </w:r>
    </w:p>
    <w:p w:rsidR="00000000" w:rsidDel="00000000" w:rsidP="00000000" w:rsidRDefault="00000000" w:rsidRPr="00000000" w14:paraId="00000046">
      <w:pPr>
        <w:contextualSpacing w:val="0"/>
        <w:jc w:val="both"/>
        <w:rPr/>
      </w:pPr>
      <w:r w:rsidDel="00000000" w:rsidR="00000000" w:rsidRPr="00000000">
        <w:rPr>
          <w:rtl w:val="0"/>
        </w:rPr>
        <w:t xml:space="preserve">A number of specimens show signs of taphonomic modification, such as exposure and weathering (Figs 4 and 5). Several of the bones have numerous cracks and splits, as well as some delamination of the cortical bone, which suggests the remains were exposed to the elements for a period of time before they were discovered. All of the remains, in varying degrees, have pock marks or areas of pitting on their surfaces which suggests that water erosion of these elements may also have occurred. Due to the fact that the bones had to be removed from heavy clay in a rescue situation, there is some recent damage and breakage. There was no clear ancient human modification evidence such as cut marks or butchering; however, it is possible that ephemeral evidence such as cut or score marks may have been obscured by the weathering and water erosion damage. </w:t>
      </w:r>
    </w:p>
    <w:p w:rsidR="00000000" w:rsidDel="00000000" w:rsidP="00000000" w:rsidRDefault="00000000" w:rsidRPr="00000000" w14:paraId="00000047">
      <w:pPr>
        <w:contextualSpacing w:val="0"/>
        <w:jc w:val="both"/>
        <w:rPr/>
      </w:pPr>
      <w:r w:rsidDel="00000000" w:rsidR="00000000" w:rsidRPr="00000000">
        <w:rPr>
          <w:rtl w:val="0"/>
        </w:rPr>
      </w:r>
    </w:p>
    <w:p w:rsidR="00000000" w:rsidDel="00000000" w:rsidP="00000000" w:rsidRDefault="00000000" w:rsidRPr="00000000" w14:paraId="00000048">
      <w:pPr>
        <w:contextualSpacing w:val="0"/>
        <w:jc w:val="both"/>
        <w:rPr/>
      </w:pPr>
      <w:r w:rsidDel="00000000" w:rsidR="00000000" w:rsidRPr="00000000">
        <w:rPr>
          <w:color w:val="ff0000"/>
          <w:sz w:val="20"/>
          <w:szCs w:val="20"/>
          <w:rtl w:val="0"/>
        </w:rPr>
        <w:t xml:space="preserve">[Figure 4 about here]</w:t>
      </w:r>
      <w:r w:rsidDel="00000000" w:rsidR="00000000" w:rsidRPr="00000000">
        <w:rPr>
          <w:rtl w:val="0"/>
        </w:rPr>
      </w:r>
    </w:p>
    <w:p w:rsidR="00000000" w:rsidDel="00000000" w:rsidP="00000000" w:rsidRDefault="00000000" w:rsidRPr="00000000" w14:paraId="00000049">
      <w:pPr>
        <w:contextualSpacing w:val="0"/>
        <w:jc w:val="both"/>
        <w:rPr/>
      </w:pPr>
      <w:r w:rsidDel="00000000" w:rsidR="00000000" w:rsidRPr="00000000">
        <w:rPr>
          <w:rtl w:val="0"/>
        </w:rPr>
        <w:t xml:space="preserve"> </w:t>
      </w:r>
    </w:p>
    <w:p w:rsidR="00000000" w:rsidDel="00000000" w:rsidP="00000000" w:rsidRDefault="00000000" w:rsidRPr="00000000" w14:paraId="0000004A">
      <w:pPr>
        <w:contextualSpacing w:val="0"/>
        <w:jc w:val="both"/>
        <w:rPr/>
      </w:pPr>
      <w:r w:rsidDel="00000000" w:rsidR="00000000" w:rsidRPr="00000000">
        <w:rPr>
          <w:color w:val="ff0000"/>
          <w:sz w:val="20"/>
          <w:szCs w:val="20"/>
          <w:rtl w:val="0"/>
        </w:rPr>
        <w:t xml:space="preserve">[Figure 5 about here]</w:t>
      </w:r>
      <w:r w:rsidDel="00000000" w:rsidR="00000000" w:rsidRPr="00000000">
        <w:rPr>
          <w:rtl w:val="0"/>
        </w:rPr>
      </w:r>
    </w:p>
    <w:p w:rsidR="00000000" w:rsidDel="00000000" w:rsidP="00000000" w:rsidRDefault="00000000" w:rsidRPr="00000000" w14:paraId="0000004B">
      <w:pPr>
        <w:contextualSpacing w:val="0"/>
        <w:jc w:val="both"/>
        <w:rPr/>
      </w:pPr>
      <w:r w:rsidDel="00000000" w:rsidR="00000000" w:rsidRPr="00000000">
        <w:rPr>
          <w:rtl w:val="0"/>
        </w:rPr>
      </w:r>
    </w:p>
    <w:p w:rsidR="00000000" w:rsidDel="00000000" w:rsidP="00000000" w:rsidRDefault="00000000" w:rsidRPr="00000000" w14:paraId="0000004C">
      <w:pPr>
        <w:contextualSpacing w:val="0"/>
        <w:jc w:val="both"/>
        <w:rPr/>
      </w:pPr>
      <w:r w:rsidDel="00000000" w:rsidR="00000000" w:rsidRPr="00000000">
        <w:rPr>
          <w:rtl w:val="0"/>
        </w:rPr>
        <w:t xml:space="preserve">In total, 42 specimens of animal bones, including small fragments, were recovered. A range of elements were present from every area of the body apart from the cranium (Figure 6). Some of the elements were almost complete but with small amounts of damage and others were only represented by a few fragments (Table 1). Two fragments could not be identified to species or element as they were too small and did not retain enough detail to aid identification. The ribs were broadly identified as originating from a species of large mammal. The majority of the remains that could be sided were identified as being from the right side of the body; however, two fragments of mandible, two fragments of scapula and one rib originated from the left side.</w:t>
      </w:r>
    </w:p>
    <w:p w:rsidR="00000000" w:rsidDel="00000000" w:rsidP="00000000" w:rsidRDefault="00000000" w:rsidRPr="00000000" w14:paraId="0000004D">
      <w:pPr>
        <w:contextualSpacing w:val="0"/>
        <w:jc w:val="both"/>
        <w:rPr/>
      </w:pPr>
      <w:r w:rsidDel="00000000" w:rsidR="00000000" w:rsidRPr="00000000">
        <w:rPr>
          <w:rtl w:val="0"/>
        </w:rPr>
      </w:r>
    </w:p>
    <w:p w:rsidR="00000000" w:rsidDel="00000000" w:rsidP="00000000" w:rsidRDefault="00000000" w:rsidRPr="00000000" w14:paraId="0000004E">
      <w:pPr>
        <w:contextualSpacing w:val="0"/>
        <w:jc w:val="both"/>
        <w:rPr/>
      </w:pPr>
      <w:r w:rsidDel="00000000" w:rsidR="00000000" w:rsidRPr="00000000">
        <w:rPr>
          <w:color w:val="ff0000"/>
          <w:sz w:val="20"/>
          <w:szCs w:val="20"/>
          <w:rtl w:val="0"/>
        </w:rPr>
        <w:t xml:space="preserve">[Figure 6 about here]</w:t>
      </w:r>
      <w:r w:rsidDel="00000000" w:rsidR="00000000" w:rsidRPr="00000000">
        <w:rPr>
          <w:rtl w:val="0"/>
        </w:rPr>
      </w:r>
    </w:p>
    <w:p w:rsidR="00000000" w:rsidDel="00000000" w:rsidP="00000000" w:rsidRDefault="00000000" w:rsidRPr="00000000" w14:paraId="0000004F">
      <w:pPr>
        <w:contextualSpacing w:val="0"/>
        <w:jc w:val="both"/>
        <w:rPr/>
      </w:pPr>
      <w:r w:rsidDel="00000000" w:rsidR="00000000" w:rsidRPr="00000000">
        <w:rPr>
          <w:rtl w:val="0"/>
        </w:rPr>
      </w:r>
    </w:p>
    <w:p w:rsidR="00000000" w:rsidDel="00000000" w:rsidP="00000000" w:rsidRDefault="00000000" w:rsidRPr="00000000" w14:paraId="00000050">
      <w:pPr>
        <w:contextualSpacing w:val="0"/>
        <w:jc w:val="both"/>
        <w:rPr/>
      </w:pPr>
      <w:r w:rsidDel="00000000" w:rsidR="00000000" w:rsidRPr="00000000">
        <w:rPr>
          <w:color w:val="ff0000"/>
          <w:sz w:val="20"/>
          <w:szCs w:val="20"/>
          <w:rtl w:val="0"/>
        </w:rPr>
        <w:t xml:space="preserve">[Table 1 about here]</w:t>
      </w:r>
      <w:r w:rsidDel="00000000" w:rsidR="00000000" w:rsidRPr="00000000">
        <w:rPr>
          <w:rtl w:val="0"/>
        </w:rPr>
      </w:r>
    </w:p>
    <w:p w:rsidR="00000000" w:rsidDel="00000000" w:rsidP="00000000" w:rsidRDefault="00000000" w:rsidRPr="00000000" w14:paraId="00000051">
      <w:pPr>
        <w:contextualSpacing w:val="0"/>
        <w:jc w:val="both"/>
        <w:rPr/>
      </w:pPr>
      <w:r w:rsidDel="00000000" w:rsidR="00000000" w:rsidRPr="00000000">
        <w:rPr>
          <w:rtl w:val="0"/>
        </w:rPr>
      </w:r>
    </w:p>
    <w:p w:rsidR="00000000" w:rsidDel="00000000" w:rsidP="00000000" w:rsidRDefault="00000000" w:rsidRPr="00000000" w14:paraId="00000052">
      <w:pPr>
        <w:contextualSpacing w:val="0"/>
        <w:jc w:val="both"/>
        <w:rPr/>
      </w:pPr>
      <w:r w:rsidDel="00000000" w:rsidR="00000000" w:rsidRPr="00000000">
        <w:rPr>
          <w:rtl w:val="0"/>
        </w:rPr>
        <w:t xml:space="preserve">From the bone assemblage it was only possible to identify an MNI of 1; however, by examining the developmental stages of epiphyseal fusion and tooth development it was possible to identify two individuals: one large red deer and a younger, smaller individual. This has been noted from the examination of vertebrae, two of which had unfused epiphyses which are missing from the assemblage (Figure 7). The vertebral epiphyses are some of the last to fuse and this tends to occur between c.35-42 months/c.2.9-3.5 years (Purdue 1983). This suggests that one individual is a young adult.</w:t>
      </w:r>
    </w:p>
    <w:p w:rsidR="00000000" w:rsidDel="00000000" w:rsidP="00000000" w:rsidRDefault="00000000" w:rsidRPr="00000000" w14:paraId="00000053">
      <w:pPr>
        <w:contextualSpacing w:val="0"/>
        <w:jc w:val="both"/>
        <w:rPr/>
      </w:pPr>
      <w:r w:rsidDel="00000000" w:rsidR="00000000" w:rsidRPr="00000000">
        <w:rPr>
          <w:rtl w:val="0"/>
        </w:rPr>
      </w:r>
    </w:p>
    <w:p w:rsidR="00000000" w:rsidDel="00000000" w:rsidP="00000000" w:rsidRDefault="00000000" w:rsidRPr="00000000" w14:paraId="00000054">
      <w:pPr>
        <w:contextualSpacing w:val="0"/>
        <w:jc w:val="both"/>
        <w:rPr/>
      </w:pPr>
      <w:r w:rsidDel="00000000" w:rsidR="00000000" w:rsidRPr="00000000">
        <w:rPr>
          <w:color w:val="ff0000"/>
          <w:sz w:val="20"/>
          <w:szCs w:val="20"/>
          <w:rtl w:val="0"/>
        </w:rPr>
        <w:t xml:space="preserve">[Figure 7 about here]</w:t>
      </w:r>
      <w:r w:rsidDel="00000000" w:rsidR="00000000" w:rsidRPr="00000000">
        <w:rPr>
          <w:rtl w:val="0"/>
        </w:rPr>
      </w:r>
    </w:p>
    <w:p w:rsidR="00000000" w:rsidDel="00000000" w:rsidP="00000000" w:rsidRDefault="00000000" w:rsidRPr="00000000" w14:paraId="00000055">
      <w:pPr>
        <w:contextualSpacing w:val="0"/>
        <w:jc w:val="both"/>
        <w:rPr/>
      </w:pPr>
      <w:r w:rsidDel="00000000" w:rsidR="00000000" w:rsidRPr="00000000">
        <w:rPr>
          <w:rtl w:val="0"/>
        </w:rPr>
      </w:r>
    </w:p>
    <w:p w:rsidR="00000000" w:rsidDel="00000000" w:rsidP="00000000" w:rsidRDefault="00000000" w:rsidRPr="00000000" w14:paraId="00000056">
      <w:pPr>
        <w:contextualSpacing w:val="0"/>
        <w:jc w:val="both"/>
        <w:rPr/>
      </w:pPr>
      <w:r w:rsidDel="00000000" w:rsidR="00000000" w:rsidRPr="00000000">
        <w:rPr>
          <w:rtl w:val="0"/>
        </w:rPr>
        <w:t xml:space="preserve">It was possible to age the other individual using the partial mandible. All of the teeth present were fully developed adult permanent teeth, of c.38-42 months/3.2-3.5 years (Brown and Chapman 1991). In terms of the tooth wear, they all appear to be at stage (E) in Brown and Chapman’s (1991) system which equates to approximately 50 months/4.2 years. By combining this data an estimate of between 3.5-4.2 years of age can be reached.</w:t>
      </w:r>
    </w:p>
    <w:p w:rsidR="00000000" w:rsidDel="00000000" w:rsidP="00000000" w:rsidRDefault="00000000" w:rsidRPr="00000000" w14:paraId="00000057">
      <w:pPr>
        <w:contextualSpacing w:val="0"/>
        <w:jc w:val="both"/>
        <w:rPr/>
      </w:pPr>
      <w:r w:rsidDel="00000000" w:rsidR="00000000" w:rsidRPr="00000000">
        <w:rPr>
          <w:rtl w:val="0"/>
        </w:rPr>
      </w:r>
    </w:p>
    <w:p w:rsidR="00000000" w:rsidDel="00000000" w:rsidP="00000000" w:rsidRDefault="00000000" w:rsidRPr="00000000" w14:paraId="00000058">
      <w:pPr>
        <w:contextualSpacing w:val="0"/>
        <w:jc w:val="both"/>
        <w:rPr/>
      </w:pPr>
      <w:r w:rsidDel="00000000" w:rsidR="00000000" w:rsidRPr="00000000">
        <w:rPr>
          <w:rtl w:val="0"/>
        </w:rPr>
        <w:t xml:space="preserve">In sum, individual 1 has been aged to between 2.9-3.5 years and individual 2 between 3.5-4.2 years of age. Although both of these remains could indicate animals of 3.5 years old (and therefore the same animal), it is argued that the size and development differences between the surviving vertebrae is sufficient to support the notion for two individuals. While it is normal for there to be a size difference between the proximal vertebra (cervical) and the mid-distal vertebra (thoracic and lumbar), the size differential is significant (Figure 8).</w:t>
      </w:r>
    </w:p>
    <w:p w:rsidR="00000000" w:rsidDel="00000000" w:rsidP="00000000" w:rsidRDefault="00000000" w:rsidRPr="00000000" w14:paraId="00000059">
      <w:pPr>
        <w:contextualSpacing w:val="0"/>
        <w:jc w:val="both"/>
        <w:rPr/>
      </w:pPr>
      <w:r w:rsidDel="00000000" w:rsidR="00000000" w:rsidRPr="00000000">
        <w:rPr>
          <w:rtl w:val="0"/>
        </w:rPr>
      </w:r>
    </w:p>
    <w:p w:rsidR="00000000" w:rsidDel="00000000" w:rsidP="00000000" w:rsidRDefault="00000000" w:rsidRPr="00000000" w14:paraId="0000005A">
      <w:pPr>
        <w:contextualSpacing w:val="0"/>
        <w:jc w:val="both"/>
        <w:rPr/>
      </w:pPr>
      <w:r w:rsidDel="00000000" w:rsidR="00000000" w:rsidRPr="00000000">
        <w:rPr>
          <w:color w:val="ff0000"/>
          <w:sz w:val="20"/>
          <w:szCs w:val="20"/>
          <w:rtl w:val="0"/>
        </w:rPr>
        <w:t xml:space="preserve">[Figure 8 about here]</w:t>
      </w:r>
      <w:r w:rsidDel="00000000" w:rsidR="00000000" w:rsidRPr="00000000">
        <w:rPr>
          <w:rtl w:val="0"/>
        </w:rPr>
      </w:r>
    </w:p>
    <w:p w:rsidR="00000000" w:rsidDel="00000000" w:rsidP="00000000" w:rsidRDefault="00000000" w:rsidRPr="00000000" w14:paraId="0000005B">
      <w:pPr>
        <w:contextualSpacing w:val="0"/>
        <w:jc w:val="both"/>
        <w:rPr/>
      </w:pPr>
      <w:r w:rsidDel="00000000" w:rsidR="00000000" w:rsidRPr="00000000">
        <w:rPr>
          <w:rtl w:val="0"/>
        </w:rPr>
      </w:r>
    </w:p>
    <w:p w:rsidR="00000000" w:rsidDel="00000000" w:rsidP="00000000" w:rsidRDefault="00000000" w:rsidRPr="00000000" w14:paraId="0000005C">
      <w:pPr>
        <w:contextualSpacing w:val="0"/>
        <w:jc w:val="both"/>
        <w:rPr/>
      </w:pPr>
      <w:r w:rsidDel="00000000" w:rsidR="00000000" w:rsidRPr="00000000">
        <w:rPr>
          <w:rtl w:val="0"/>
        </w:rPr>
        <w:t xml:space="preserve">Although the older individual is still fairly young, the general size and robustness of the elements are noteworthy. Having analysed the Mesolithic faunal remains from the most recent excavations at Star Carr, a site that is of similar age to the Skipsea Withow assemblage, the size of the Skipsea red deer are clearly larger than the largest, most complete examples from Star Carr in terms of tibia, ulna and radii (Table 2, Figure 9) (Knight, Milner, O’Connor et al. 2018). One explanation for this difference could be sexual dimorphism as male red deer tend to be significantly larger than their female counterparts. Due to the preservation issues and modified nature of the Star Carr material it has been impossible to clearly identify the sex of the remains and there is not enough of the Skipsea Withow material to be able to do so. The other possibility is that the variation could be related to differences in the habitats and environments of these animals.</w:t>
      </w:r>
    </w:p>
    <w:p w:rsidR="00000000" w:rsidDel="00000000" w:rsidP="00000000" w:rsidRDefault="00000000" w:rsidRPr="00000000" w14:paraId="0000005D">
      <w:pPr>
        <w:contextualSpacing w:val="0"/>
        <w:jc w:val="both"/>
        <w:rPr/>
      </w:pPr>
      <w:r w:rsidDel="00000000" w:rsidR="00000000" w:rsidRPr="00000000">
        <w:rPr>
          <w:rtl w:val="0"/>
        </w:rPr>
      </w:r>
    </w:p>
    <w:p w:rsidR="00000000" w:rsidDel="00000000" w:rsidP="00000000" w:rsidRDefault="00000000" w:rsidRPr="00000000" w14:paraId="0000005E">
      <w:pPr>
        <w:contextualSpacing w:val="0"/>
        <w:jc w:val="both"/>
        <w:rPr/>
      </w:pPr>
      <w:r w:rsidDel="00000000" w:rsidR="00000000" w:rsidRPr="00000000">
        <w:rPr>
          <w:color w:val="ff0000"/>
          <w:sz w:val="20"/>
          <w:szCs w:val="20"/>
          <w:rtl w:val="0"/>
        </w:rPr>
        <w:t xml:space="preserve">[Table 2 about here]</w:t>
      </w:r>
      <w:r w:rsidDel="00000000" w:rsidR="00000000" w:rsidRPr="00000000">
        <w:rPr>
          <w:rtl w:val="0"/>
        </w:rPr>
      </w:r>
    </w:p>
    <w:p w:rsidR="00000000" w:rsidDel="00000000" w:rsidP="00000000" w:rsidRDefault="00000000" w:rsidRPr="00000000" w14:paraId="0000005F">
      <w:pPr>
        <w:contextualSpacing w:val="0"/>
        <w:jc w:val="both"/>
        <w:rPr/>
      </w:pPr>
      <w:r w:rsidDel="00000000" w:rsidR="00000000" w:rsidRPr="00000000">
        <w:rPr>
          <w:rtl w:val="0"/>
        </w:rPr>
      </w:r>
    </w:p>
    <w:p w:rsidR="00000000" w:rsidDel="00000000" w:rsidP="00000000" w:rsidRDefault="00000000" w:rsidRPr="00000000" w14:paraId="00000060">
      <w:pPr>
        <w:contextualSpacing w:val="0"/>
        <w:jc w:val="both"/>
        <w:rPr/>
      </w:pPr>
      <w:r w:rsidDel="00000000" w:rsidR="00000000" w:rsidRPr="00000000">
        <w:rPr>
          <w:color w:val="ff0000"/>
          <w:sz w:val="20"/>
          <w:szCs w:val="20"/>
          <w:rtl w:val="0"/>
        </w:rPr>
        <w:t xml:space="preserve">[Figure 9 about here]</w:t>
      </w:r>
      <w:r w:rsidDel="00000000" w:rsidR="00000000" w:rsidRPr="00000000">
        <w:rPr>
          <w:rtl w:val="0"/>
        </w:rPr>
      </w:r>
    </w:p>
    <w:p w:rsidR="00000000" w:rsidDel="00000000" w:rsidP="00000000" w:rsidRDefault="00000000" w:rsidRPr="00000000" w14:paraId="00000061">
      <w:pPr>
        <w:contextualSpacing w:val="0"/>
        <w:jc w:val="both"/>
        <w:rPr/>
      </w:pPr>
      <w:r w:rsidDel="00000000" w:rsidR="00000000" w:rsidRPr="00000000">
        <w:rPr>
          <w:rtl w:val="0"/>
        </w:rPr>
      </w:r>
    </w:p>
    <w:p w:rsidR="00000000" w:rsidDel="00000000" w:rsidP="00000000" w:rsidRDefault="00000000" w:rsidRPr="00000000" w14:paraId="00000062">
      <w:pPr>
        <w:contextualSpacing w:val="0"/>
        <w:jc w:val="both"/>
        <w:rPr/>
      </w:pPr>
      <w:r w:rsidDel="00000000" w:rsidR="00000000" w:rsidRPr="00000000">
        <w:rPr>
          <w:rtl w:val="0"/>
        </w:rPr>
        <w:t xml:space="preserve">Dating </w:t>
      </w:r>
      <w:r w:rsidDel="00000000" w:rsidR="00000000" w:rsidRPr="00000000">
        <w:rPr>
          <w:color w:val="ff0000"/>
          <w:sz w:val="20"/>
          <w:szCs w:val="20"/>
          <w:rtl w:val="0"/>
        </w:rPr>
        <w:t xml:space="preserve">[H3]</w:t>
      </w:r>
      <w:r w:rsidDel="00000000" w:rsidR="00000000" w:rsidRPr="00000000">
        <w:rPr>
          <w:rtl w:val="0"/>
        </w:rPr>
      </w:r>
    </w:p>
    <w:p w:rsidR="00000000" w:rsidDel="00000000" w:rsidP="00000000" w:rsidRDefault="00000000" w:rsidRPr="00000000" w14:paraId="00000063">
      <w:pPr>
        <w:contextualSpacing w:val="0"/>
        <w:jc w:val="both"/>
        <w:rPr/>
      </w:pPr>
      <w:r w:rsidDel="00000000" w:rsidR="00000000" w:rsidRPr="00000000">
        <w:rPr>
          <w:rtl w:val="0"/>
        </w:rPr>
      </w:r>
    </w:p>
    <w:p w:rsidR="00000000" w:rsidDel="00000000" w:rsidP="00000000" w:rsidRDefault="00000000" w:rsidRPr="00000000" w14:paraId="00000064">
      <w:pPr>
        <w:contextualSpacing w:val="0"/>
        <w:jc w:val="both"/>
        <w:rPr/>
      </w:pPr>
      <w:r w:rsidDel="00000000" w:rsidR="00000000" w:rsidRPr="00000000">
        <w:rPr>
          <w:rtl w:val="0"/>
        </w:rPr>
        <w:t xml:space="preserve">A piece of bone from a right tibia was removed for AMS radiocarbon dating and sent to the SUERC Radiocarbon Laboratory in Glasgow. The results are presented in Table 3 and Figure 10. These dates clearly overlap with the dates which have been taken for Star Carr (Bayliss et al. 2018).</w:t>
      </w:r>
    </w:p>
    <w:p w:rsidR="00000000" w:rsidDel="00000000" w:rsidP="00000000" w:rsidRDefault="00000000" w:rsidRPr="00000000" w14:paraId="00000065">
      <w:pPr>
        <w:contextualSpacing w:val="0"/>
        <w:jc w:val="both"/>
        <w:rPr/>
      </w:pPr>
      <w:r w:rsidDel="00000000" w:rsidR="00000000" w:rsidRPr="00000000">
        <w:rPr>
          <w:rtl w:val="0"/>
        </w:rPr>
      </w:r>
    </w:p>
    <w:p w:rsidR="00000000" w:rsidDel="00000000" w:rsidP="00000000" w:rsidRDefault="00000000" w:rsidRPr="00000000" w14:paraId="00000066">
      <w:pPr>
        <w:contextualSpacing w:val="0"/>
        <w:jc w:val="both"/>
        <w:rPr/>
      </w:pPr>
      <w:r w:rsidDel="00000000" w:rsidR="00000000" w:rsidRPr="00000000">
        <w:rPr>
          <w:color w:val="ff0000"/>
          <w:sz w:val="20"/>
          <w:szCs w:val="20"/>
          <w:rtl w:val="0"/>
        </w:rPr>
        <w:t xml:space="preserve">[Table 3 about here]</w:t>
      </w:r>
      <w:r w:rsidDel="00000000" w:rsidR="00000000" w:rsidRPr="00000000">
        <w:rPr>
          <w:rtl w:val="0"/>
        </w:rPr>
      </w:r>
    </w:p>
    <w:p w:rsidR="00000000" w:rsidDel="00000000" w:rsidP="00000000" w:rsidRDefault="00000000" w:rsidRPr="00000000" w14:paraId="00000067">
      <w:pPr>
        <w:contextualSpacing w:val="0"/>
        <w:jc w:val="both"/>
        <w:rPr/>
      </w:pPr>
      <w:r w:rsidDel="00000000" w:rsidR="00000000" w:rsidRPr="00000000">
        <w:rPr>
          <w:rtl w:val="0"/>
        </w:rPr>
      </w:r>
    </w:p>
    <w:p w:rsidR="00000000" w:rsidDel="00000000" w:rsidP="00000000" w:rsidRDefault="00000000" w:rsidRPr="00000000" w14:paraId="00000068">
      <w:pPr>
        <w:contextualSpacing w:val="0"/>
        <w:jc w:val="both"/>
        <w:rPr/>
      </w:pPr>
      <w:r w:rsidDel="00000000" w:rsidR="00000000" w:rsidRPr="00000000">
        <w:rPr>
          <w:color w:val="ff0000"/>
          <w:sz w:val="20"/>
          <w:szCs w:val="20"/>
          <w:rtl w:val="0"/>
        </w:rPr>
        <w:t xml:space="preserve">[Figure 10 about here]</w:t>
      </w:r>
      <w:r w:rsidDel="00000000" w:rsidR="00000000" w:rsidRPr="00000000">
        <w:rPr>
          <w:rtl w:val="0"/>
        </w:rPr>
      </w:r>
    </w:p>
    <w:p w:rsidR="00000000" w:rsidDel="00000000" w:rsidP="00000000" w:rsidRDefault="00000000" w:rsidRPr="00000000" w14:paraId="00000069">
      <w:pPr>
        <w:contextualSpacing w:val="0"/>
        <w:jc w:val="both"/>
        <w:rPr/>
      </w:pPr>
      <w:r w:rsidDel="00000000" w:rsidR="00000000" w:rsidRPr="00000000">
        <w:rPr>
          <w:rtl w:val="0"/>
        </w:rPr>
      </w:r>
    </w:p>
    <w:p w:rsidR="00000000" w:rsidDel="00000000" w:rsidP="00000000" w:rsidRDefault="00000000" w:rsidRPr="00000000" w14:paraId="0000006A">
      <w:pPr>
        <w:contextualSpacing w:val="0"/>
        <w:jc w:val="both"/>
        <w:rPr/>
      </w:pPr>
      <w:r w:rsidDel="00000000" w:rsidR="00000000" w:rsidRPr="00000000">
        <w:rPr>
          <w:rtl w:val="0"/>
        </w:rPr>
        <w:t xml:space="preserve">Discussion </w:t>
      </w:r>
      <w:r w:rsidDel="00000000" w:rsidR="00000000" w:rsidRPr="00000000">
        <w:rPr>
          <w:color w:val="ff0000"/>
          <w:sz w:val="20"/>
          <w:szCs w:val="20"/>
          <w:rtl w:val="0"/>
        </w:rPr>
        <w:t xml:space="preserve">[H2]</w:t>
      </w:r>
      <w:r w:rsidDel="00000000" w:rsidR="00000000" w:rsidRPr="00000000">
        <w:rPr>
          <w:rtl w:val="0"/>
        </w:rPr>
      </w:r>
    </w:p>
    <w:p w:rsidR="00000000" w:rsidDel="00000000" w:rsidP="00000000" w:rsidRDefault="00000000" w:rsidRPr="00000000" w14:paraId="0000006B">
      <w:pPr>
        <w:contextualSpacing w:val="0"/>
        <w:jc w:val="both"/>
        <w:rPr/>
      </w:pPr>
      <w:r w:rsidDel="00000000" w:rsidR="00000000" w:rsidRPr="00000000">
        <w:rPr>
          <w:rtl w:val="0"/>
        </w:rPr>
      </w:r>
    </w:p>
    <w:p w:rsidR="00000000" w:rsidDel="00000000" w:rsidP="00000000" w:rsidRDefault="00000000" w:rsidRPr="00000000" w14:paraId="0000006C">
      <w:pPr>
        <w:contextualSpacing w:val="0"/>
        <w:jc w:val="both"/>
        <w:rPr/>
      </w:pPr>
      <w:r w:rsidDel="00000000" w:rsidR="00000000" w:rsidRPr="00000000">
        <w:rPr>
          <w:rtl w:val="0"/>
        </w:rPr>
        <w:t xml:space="preserve">The small assemblage rescued from the cliffs at Skipsea Withow is a very interesting and important collection of material: there are only a handful of sites in Britain that contain faunal remains of this period, Star Carr being the most well-known, and this is also true for Northwest Europe (Sørensen, Lübke, and Gross 2018). Any new finds provide a new insight into the ecology, environment and archaeology of the period.</w:t>
      </w:r>
    </w:p>
    <w:p w:rsidR="00000000" w:rsidDel="00000000" w:rsidP="00000000" w:rsidRDefault="00000000" w:rsidRPr="00000000" w14:paraId="0000006D">
      <w:pPr>
        <w:contextualSpacing w:val="0"/>
        <w:jc w:val="both"/>
        <w:rPr/>
      </w:pPr>
      <w:r w:rsidDel="00000000" w:rsidR="00000000" w:rsidRPr="00000000">
        <w:rPr>
          <w:rtl w:val="0"/>
        </w:rPr>
      </w:r>
    </w:p>
    <w:p w:rsidR="00000000" w:rsidDel="00000000" w:rsidP="00000000" w:rsidRDefault="00000000" w:rsidRPr="00000000" w14:paraId="0000006E">
      <w:pPr>
        <w:contextualSpacing w:val="0"/>
        <w:jc w:val="both"/>
        <w:rPr/>
      </w:pPr>
      <w:r w:rsidDel="00000000" w:rsidR="00000000" w:rsidRPr="00000000">
        <w:rPr>
          <w:rtl w:val="0"/>
        </w:rPr>
        <w:t xml:space="preserve">The faunal remains from Skipsea Withow are not associated with archaeological remains such as flint tools and do not exhibit cut marks; however, given that there appear to be two animals it makes it less likely that they represent natural deaths within the mere. </w:t>
      </w:r>
      <w:r w:rsidDel="00000000" w:rsidR="00000000" w:rsidRPr="00000000">
        <w:rPr>
          <w:rtl w:val="0"/>
        </w:rPr>
        <w:t xml:space="preserve">At Star Carr there is extensive evidence for deposition of animal bones along the lake edge, particularly of red deer (Knight, Milner, Taylor et al. 2018) and this practice has also been observed in Denmark and Germany in the Early Mesolithic (Sørensen, Lübke, and Gross 2018). The possibility that they are linked to a human presence also comes in the form of the barbed point found over a century ago.</w:t>
      </w:r>
    </w:p>
    <w:p w:rsidR="00000000" w:rsidDel="00000000" w:rsidP="00000000" w:rsidRDefault="00000000" w:rsidRPr="00000000" w14:paraId="0000006F">
      <w:pPr>
        <w:contextualSpacing w:val="0"/>
        <w:jc w:val="both"/>
        <w:rPr/>
      </w:pPr>
      <w:r w:rsidDel="00000000" w:rsidR="00000000" w:rsidRPr="00000000">
        <w:rPr>
          <w:rtl w:val="0"/>
        </w:rPr>
      </w:r>
    </w:p>
    <w:p w:rsidR="00000000" w:rsidDel="00000000" w:rsidP="00000000" w:rsidRDefault="00000000" w:rsidRPr="00000000" w14:paraId="00000070">
      <w:pPr>
        <w:contextualSpacing w:val="0"/>
        <w:jc w:val="both"/>
        <w:rPr/>
      </w:pPr>
      <w:r w:rsidDel="00000000" w:rsidR="00000000" w:rsidRPr="00000000">
        <w:rPr>
          <w:rtl w:val="0"/>
        </w:rPr>
        <w:t xml:space="preserve">The animals themselves are very large and robust and appear to be even larger than those found at Star Carr, even though the sites overlap in terms of the radiocarbon results. There is the possibility that this can be explained by sexual dimorphism, though given the number of antlers found at Star Carr, it is unlikely that the largest deer at Star Carr are not represented by males. Other explanations for the large size of the Skipsea Withow red deer may be caused by environmental factors: wide open plains with an abundance of food and few predators could account for an animal’s ability to reach an older and more robust size. </w:t>
      </w:r>
    </w:p>
    <w:p w:rsidR="00000000" w:rsidDel="00000000" w:rsidP="00000000" w:rsidRDefault="00000000" w:rsidRPr="00000000" w14:paraId="00000071">
      <w:pPr>
        <w:contextualSpacing w:val="0"/>
        <w:jc w:val="both"/>
        <w:rPr/>
      </w:pPr>
      <w:r w:rsidDel="00000000" w:rsidR="00000000" w:rsidRPr="00000000">
        <w:rPr>
          <w:rtl w:val="0"/>
        </w:rPr>
      </w:r>
    </w:p>
    <w:p w:rsidR="00000000" w:rsidDel="00000000" w:rsidP="00000000" w:rsidRDefault="00000000" w:rsidRPr="00000000" w14:paraId="00000072">
      <w:pPr>
        <w:contextualSpacing w:val="0"/>
        <w:jc w:val="both"/>
        <w:rPr/>
      </w:pPr>
      <w:r w:rsidDel="00000000" w:rsidR="00000000" w:rsidRPr="00000000">
        <w:rPr>
          <w:rtl w:val="0"/>
        </w:rPr>
        <w:t xml:space="preserve">In relation to these size observations, it is also important to question whether the ‘elk’ bones originally found at Skipsea Withow (Armstrong 1922) were actually elk. Initially we thought that the recently discovered bones might be elk due to their size and so the same assumption might have been made in the early 1900s. Until the original assemblage is relocated it is impossible to say. </w:t>
      </w:r>
    </w:p>
    <w:p w:rsidR="00000000" w:rsidDel="00000000" w:rsidP="00000000" w:rsidRDefault="00000000" w:rsidRPr="00000000" w14:paraId="00000073">
      <w:pPr>
        <w:contextualSpacing w:val="0"/>
        <w:jc w:val="both"/>
        <w:rPr/>
      </w:pPr>
      <w:r w:rsidDel="00000000" w:rsidR="00000000" w:rsidRPr="00000000">
        <w:rPr>
          <w:rtl w:val="0"/>
        </w:rPr>
      </w:r>
    </w:p>
    <w:p w:rsidR="00000000" w:rsidDel="00000000" w:rsidP="00000000" w:rsidRDefault="00000000" w:rsidRPr="00000000" w14:paraId="00000074">
      <w:pPr>
        <w:contextualSpacing w:val="0"/>
        <w:jc w:val="both"/>
        <w:rPr/>
      </w:pPr>
      <w:r w:rsidDel="00000000" w:rsidR="00000000" w:rsidRPr="00000000">
        <w:rPr>
          <w:rtl w:val="0"/>
        </w:rPr>
        <w:t xml:space="preserve">As assemblages of this age and preservation standard are rare, it is important to monitor this section of the cliff to try to collect more of the assemblage if further erosion occurs and more material is exposed. If other remains are found, it will hopefully be possible to gather more information about other species, the environment, and human-animal interactions from this area. </w:t>
      </w:r>
    </w:p>
    <w:p w:rsidR="00000000" w:rsidDel="00000000" w:rsidP="00000000" w:rsidRDefault="00000000" w:rsidRPr="00000000" w14:paraId="00000075">
      <w:pPr>
        <w:contextualSpacing w:val="0"/>
        <w:jc w:val="both"/>
        <w:rPr/>
      </w:pPr>
      <w:r w:rsidDel="00000000" w:rsidR="00000000" w:rsidRPr="00000000">
        <w:rPr>
          <w:rtl w:val="0"/>
        </w:rPr>
      </w:r>
    </w:p>
    <w:p w:rsidR="00000000" w:rsidDel="00000000" w:rsidP="00000000" w:rsidRDefault="00000000" w:rsidRPr="00000000" w14:paraId="00000076">
      <w:pPr>
        <w:contextualSpacing w:val="0"/>
        <w:jc w:val="both"/>
        <w:rPr/>
      </w:pPr>
      <w:r w:rsidDel="00000000" w:rsidR="00000000" w:rsidRPr="00000000">
        <w:rPr>
          <w:rtl w:val="0"/>
        </w:rPr>
        <w:t xml:space="preserve">This latest find underlines just how many isolated discoveries of both well preserved faunal and archaeological material have been made over the last century without any coherent attempt to develop a clear strategy for recovery. It underlines the potential for further targeted investigation of what Sheppard referred to as the meres of Holderness which would provide further understanding of Early Mesolithic activity and the environment in Northwest Europe. The fact that some of these potential find spots are under threat of erosion further strengthens the need for further research. </w:t>
      </w:r>
    </w:p>
    <w:p w:rsidR="00000000" w:rsidDel="00000000" w:rsidP="00000000" w:rsidRDefault="00000000" w:rsidRPr="00000000" w14:paraId="00000077">
      <w:pPr>
        <w:contextualSpacing w:val="0"/>
        <w:jc w:val="both"/>
        <w:rPr/>
      </w:pPr>
      <w:r w:rsidDel="00000000" w:rsidR="00000000" w:rsidRPr="00000000">
        <w:rPr>
          <w:rtl w:val="0"/>
        </w:rPr>
      </w:r>
    </w:p>
    <w:p w:rsidR="00000000" w:rsidDel="00000000" w:rsidP="00000000" w:rsidRDefault="00000000" w:rsidRPr="00000000" w14:paraId="00000078">
      <w:pPr>
        <w:contextualSpacing w:val="0"/>
        <w:jc w:val="both"/>
        <w:rPr/>
      </w:pPr>
      <w:r w:rsidDel="00000000" w:rsidR="00000000" w:rsidRPr="00000000">
        <w:rPr>
          <w:rtl w:val="0"/>
        </w:rPr>
        <w:t xml:space="preserve">Acknowledgements </w:t>
      </w:r>
      <w:r w:rsidDel="00000000" w:rsidR="00000000" w:rsidRPr="00000000">
        <w:rPr>
          <w:color w:val="ff0000"/>
          <w:sz w:val="20"/>
          <w:szCs w:val="20"/>
          <w:rtl w:val="0"/>
        </w:rPr>
        <w:t xml:space="preserve">[H2]</w:t>
      </w:r>
      <w:r w:rsidDel="00000000" w:rsidR="00000000" w:rsidRPr="00000000">
        <w:rPr>
          <w:rtl w:val="0"/>
        </w:rPr>
      </w:r>
    </w:p>
    <w:p w:rsidR="00000000" w:rsidDel="00000000" w:rsidP="00000000" w:rsidRDefault="00000000" w:rsidRPr="00000000" w14:paraId="00000079">
      <w:pPr>
        <w:contextualSpacing w:val="0"/>
        <w:jc w:val="both"/>
        <w:rPr/>
      </w:pPr>
      <w:r w:rsidDel="00000000" w:rsidR="00000000" w:rsidRPr="00000000">
        <w:rPr>
          <w:rtl w:val="0"/>
        </w:rPr>
        <w:t xml:space="preserve">Thanks go to Terry O’Connor for giving a second opinion on the faunal analysis, particularly in terms of identifying two individuals. We are very grateful to Alex Bayliss for help in selecting bone for radiocarbon dating and drilling out a sample and to Gordon Cook at SUERC for his help. This work was part funded from the European Research Council (ERC) under the European Union’s Seventh Framework Programme (FP7/2007-2013) under grant agreement No 283938 (POSTGLACIAL).</w:t>
      </w:r>
    </w:p>
    <w:p w:rsidR="00000000" w:rsidDel="00000000" w:rsidP="00000000" w:rsidRDefault="00000000" w:rsidRPr="00000000" w14:paraId="0000007A">
      <w:pPr>
        <w:contextualSpacing w:val="0"/>
        <w:jc w:val="both"/>
        <w:rPr/>
      </w:pPr>
      <w:r w:rsidDel="00000000" w:rsidR="00000000" w:rsidRPr="00000000">
        <w:rPr>
          <w:rtl w:val="0"/>
        </w:rPr>
      </w:r>
    </w:p>
    <w:p w:rsidR="00000000" w:rsidDel="00000000" w:rsidP="00000000" w:rsidRDefault="00000000" w:rsidRPr="00000000" w14:paraId="0000007B">
      <w:pPr>
        <w:contextualSpacing w:val="0"/>
        <w:jc w:val="both"/>
        <w:rPr/>
      </w:pPr>
      <w:r w:rsidDel="00000000" w:rsidR="00000000" w:rsidRPr="00000000">
        <w:rPr>
          <w:rtl w:val="0"/>
        </w:rPr>
        <w:t xml:space="preserve">Bibliography</w:t>
      </w:r>
      <w:r w:rsidDel="00000000" w:rsidR="00000000" w:rsidRPr="00000000">
        <w:rPr>
          <w:b w:val="1"/>
          <w:rtl w:val="0"/>
        </w:rPr>
        <w:t xml:space="preserve"> </w:t>
      </w:r>
      <w:r w:rsidDel="00000000" w:rsidR="00000000" w:rsidRPr="00000000">
        <w:rPr>
          <w:color w:val="ff0000"/>
          <w:sz w:val="20"/>
          <w:szCs w:val="20"/>
          <w:rtl w:val="0"/>
        </w:rPr>
        <w:t xml:space="preserve">[H2]</w:t>
      </w:r>
      <w:r w:rsidDel="00000000" w:rsidR="00000000" w:rsidRPr="00000000">
        <w:rPr>
          <w:rtl w:val="0"/>
        </w:rPr>
      </w:r>
    </w:p>
    <w:p w:rsidR="00000000" w:rsidDel="00000000" w:rsidP="00000000" w:rsidRDefault="00000000" w:rsidRPr="00000000" w14:paraId="0000007C">
      <w:pPr>
        <w:contextualSpacing w:val="0"/>
        <w:jc w:val="both"/>
        <w:rPr/>
      </w:pPr>
      <w:r w:rsidDel="00000000" w:rsidR="00000000" w:rsidRPr="00000000">
        <w:rPr>
          <w:rtl w:val="0"/>
        </w:rPr>
      </w:r>
    </w:p>
    <w:p w:rsidR="00000000" w:rsidDel="00000000" w:rsidP="00000000" w:rsidRDefault="00000000" w:rsidRPr="00000000" w14:paraId="0000007D">
      <w:pPr>
        <w:contextualSpacing w:val="0"/>
        <w:jc w:val="both"/>
        <w:rPr/>
      </w:pPr>
      <w:hyperlink r:id="rId16">
        <w:r w:rsidDel="00000000" w:rsidR="00000000" w:rsidRPr="00000000">
          <w:rPr>
            <w:rtl w:val="0"/>
          </w:rPr>
          <w:t xml:space="preserve">Armstrong, L. 1922. “Two East Yorkshire Bone Harpoons.” </w:t>
        </w:r>
      </w:hyperlink>
      <w:hyperlink r:id="rId17">
        <w:r w:rsidDel="00000000" w:rsidR="00000000" w:rsidRPr="00000000">
          <w:rPr>
            <w:i w:val="1"/>
            <w:rtl w:val="0"/>
          </w:rPr>
          <w:t xml:space="preserve">Man</w:t>
        </w:r>
      </w:hyperlink>
      <w:hyperlink r:id="rId18">
        <w:r w:rsidDel="00000000" w:rsidR="00000000" w:rsidRPr="00000000">
          <w:rPr>
            <w:rtl w:val="0"/>
          </w:rPr>
          <w:t xml:space="preserve"> 75: 130–31.</w:t>
        </w:r>
      </w:hyperlink>
      <w:r w:rsidDel="00000000" w:rsidR="00000000" w:rsidRPr="00000000">
        <w:rPr>
          <w:rtl w:val="0"/>
        </w:rPr>
      </w:r>
    </w:p>
    <w:p w:rsidR="00000000" w:rsidDel="00000000" w:rsidP="00000000" w:rsidRDefault="00000000" w:rsidRPr="00000000" w14:paraId="0000007E">
      <w:pPr>
        <w:contextualSpacing w:val="0"/>
        <w:jc w:val="both"/>
        <w:rPr/>
      </w:pPr>
      <w:r w:rsidDel="00000000" w:rsidR="00000000" w:rsidRPr="00000000">
        <w:rPr>
          <w:rtl w:val="0"/>
        </w:rPr>
      </w:r>
    </w:p>
    <w:p w:rsidR="00000000" w:rsidDel="00000000" w:rsidP="00000000" w:rsidRDefault="00000000" w:rsidRPr="00000000" w14:paraId="0000007F">
      <w:pPr>
        <w:contextualSpacing w:val="0"/>
        <w:jc w:val="both"/>
        <w:rPr/>
      </w:pPr>
      <w:r w:rsidDel="00000000" w:rsidR="00000000" w:rsidRPr="00000000">
        <w:rPr>
          <w:rtl w:val="0"/>
        </w:rPr>
        <w:t xml:space="preserve">Armstrong, L.</w:t>
      </w:r>
      <w:hyperlink r:id="rId19">
        <w:r w:rsidDel="00000000" w:rsidR="00000000" w:rsidRPr="00000000">
          <w:rPr>
            <w:rtl w:val="0"/>
          </w:rPr>
          <w:t xml:space="preserve"> 1923. “The Maglemose Remains of Holderness and Their Baltic Counterparts.” </w:t>
        </w:r>
      </w:hyperlink>
      <w:hyperlink r:id="rId20">
        <w:r w:rsidDel="00000000" w:rsidR="00000000" w:rsidRPr="00000000">
          <w:rPr>
            <w:i w:val="1"/>
            <w:rtl w:val="0"/>
          </w:rPr>
          <w:t xml:space="preserve">Prehistoric Society of East Anglia</w:t>
        </w:r>
      </w:hyperlink>
      <w:hyperlink r:id="rId21">
        <w:r w:rsidDel="00000000" w:rsidR="00000000" w:rsidRPr="00000000">
          <w:rPr>
            <w:rtl w:val="0"/>
          </w:rPr>
          <w:t xml:space="preserve"> 4 (1): 57–70.</w:t>
        </w:r>
      </w:hyperlink>
      <w:r w:rsidDel="00000000" w:rsidR="00000000" w:rsidRPr="00000000">
        <w:rPr>
          <w:rtl w:val="0"/>
        </w:rPr>
      </w:r>
    </w:p>
    <w:p w:rsidR="00000000" w:rsidDel="00000000" w:rsidP="00000000" w:rsidRDefault="00000000" w:rsidRPr="00000000" w14:paraId="00000080">
      <w:pPr>
        <w:contextualSpacing w:val="0"/>
        <w:jc w:val="both"/>
        <w:rPr/>
      </w:pPr>
      <w:r w:rsidDel="00000000" w:rsidR="00000000" w:rsidRPr="00000000">
        <w:rPr>
          <w:rtl w:val="0"/>
        </w:rPr>
      </w:r>
    </w:p>
    <w:p w:rsidR="00000000" w:rsidDel="00000000" w:rsidP="00000000" w:rsidRDefault="00000000" w:rsidRPr="00000000" w14:paraId="00000081">
      <w:pPr>
        <w:contextualSpacing w:val="0"/>
        <w:jc w:val="both"/>
        <w:rPr/>
      </w:pPr>
      <w:r w:rsidDel="00000000" w:rsidR="00000000" w:rsidRPr="00000000">
        <w:rPr>
          <w:rtl w:val="0"/>
        </w:rPr>
        <w:t xml:space="preserve">Bayliss, A., B. Taylor, C. Bronk Ramsey, E. Dunbar, B. Kromer, M. Bamforth, C. Conneller et al. 2018. “Dating the archaeology and environment of the Star Carr embayment”. In </w:t>
      </w:r>
      <w:r w:rsidDel="00000000" w:rsidR="00000000" w:rsidRPr="00000000">
        <w:rPr>
          <w:i w:val="1"/>
          <w:rtl w:val="0"/>
        </w:rPr>
        <w:t xml:space="preserve">Star Carr, Volume 2: studies in technology, subsistence and environment</w:t>
      </w:r>
      <w:r w:rsidDel="00000000" w:rsidR="00000000" w:rsidRPr="00000000">
        <w:rPr>
          <w:rtl w:val="0"/>
        </w:rPr>
        <w:t xml:space="preserve">, edited by Milner, N., C. Conneller and B. Taylor, 33-112. York: White Rose University Press. DOI: https://doi.org/10.22599/book2.c. </w:t>
      </w:r>
    </w:p>
    <w:p w:rsidR="00000000" w:rsidDel="00000000" w:rsidP="00000000" w:rsidRDefault="00000000" w:rsidRPr="00000000" w14:paraId="00000082">
      <w:pPr>
        <w:contextualSpacing w:val="0"/>
        <w:jc w:val="both"/>
        <w:rPr/>
      </w:pPr>
      <w:r w:rsidDel="00000000" w:rsidR="00000000" w:rsidRPr="00000000">
        <w:rPr>
          <w:rtl w:val="0"/>
        </w:rPr>
      </w:r>
    </w:p>
    <w:p w:rsidR="00000000" w:rsidDel="00000000" w:rsidP="00000000" w:rsidRDefault="00000000" w:rsidRPr="00000000" w14:paraId="00000083">
      <w:pPr>
        <w:contextualSpacing w:val="0"/>
        <w:jc w:val="both"/>
        <w:rPr/>
      </w:pPr>
      <w:r w:rsidDel="00000000" w:rsidR="00000000" w:rsidRPr="00000000">
        <w:rPr>
          <w:rtl w:val="0"/>
        </w:rPr>
        <w:t xml:space="preserve">Brown, W.A.B and N.G. Chapman 1991. “The dentition of red deer (</w:t>
      </w:r>
      <w:r w:rsidDel="00000000" w:rsidR="00000000" w:rsidRPr="00000000">
        <w:rPr>
          <w:i w:val="1"/>
          <w:rtl w:val="0"/>
        </w:rPr>
        <w:t xml:space="preserve">Cervus elaphus</w:t>
      </w:r>
      <w:r w:rsidDel="00000000" w:rsidR="00000000" w:rsidRPr="00000000">
        <w:rPr>
          <w:rtl w:val="0"/>
        </w:rPr>
        <w:t xml:space="preserve">): a scoring scheme to assess age from wear of permanent molariform teeth”. </w:t>
      </w:r>
      <w:r w:rsidDel="00000000" w:rsidR="00000000" w:rsidRPr="00000000">
        <w:rPr>
          <w:i w:val="1"/>
          <w:rtl w:val="0"/>
        </w:rPr>
        <w:t xml:space="preserve">Journal of Zoology</w:t>
      </w:r>
      <w:r w:rsidDel="00000000" w:rsidR="00000000" w:rsidRPr="00000000">
        <w:rPr>
          <w:rtl w:val="0"/>
        </w:rPr>
        <w:t xml:space="preserve"> </w:t>
      </w:r>
      <w:r w:rsidDel="00000000" w:rsidR="00000000" w:rsidRPr="00000000">
        <w:rPr>
          <w:rtl w:val="0"/>
        </w:rPr>
        <w:t xml:space="preserve">224</w:t>
      </w:r>
      <w:r w:rsidDel="00000000" w:rsidR="00000000" w:rsidRPr="00000000">
        <w:rPr>
          <w:rtl w:val="0"/>
        </w:rPr>
        <w:t xml:space="preserve">: 519-36.</w:t>
      </w:r>
    </w:p>
    <w:p w:rsidR="00000000" w:rsidDel="00000000" w:rsidP="00000000" w:rsidRDefault="00000000" w:rsidRPr="00000000" w14:paraId="00000084">
      <w:pPr>
        <w:contextualSpacing w:val="0"/>
        <w:jc w:val="both"/>
        <w:rPr/>
      </w:pPr>
      <w:r w:rsidDel="00000000" w:rsidR="00000000" w:rsidRPr="00000000">
        <w:rPr>
          <w:rtl w:val="0"/>
        </w:rPr>
      </w:r>
    </w:p>
    <w:p w:rsidR="00000000" w:rsidDel="00000000" w:rsidP="00000000" w:rsidRDefault="00000000" w:rsidRPr="00000000" w14:paraId="00000085">
      <w:pPr>
        <w:contextualSpacing w:val="0"/>
        <w:jc w:val="both"/>
        <w:rPr/>
      </w:pPr>
      <w:hyperlink r:id="rId22">
        <w:r w:rsidDel="00000000" w:rsidR="00000000" w:rsidRPr="00000000">
          <w:rPr>
            <w:rtl w:val="0"/>
          </w:rPr>
          <w:t xml:space="preserve">Clark, G., and H. Godwin. 1956. “A Maglemosian Site at Brandesburton, Holderness, Yorkshire.” </w:t>
        </w:r>
      </w:hyperlink>
      <w:hyperlink r:id="rId23">
        <w:r w:rsidDel="00000000" w:rsidR="00000000" w:rsidRPr="00000000">
          <w:rPr>
            <w:i w:val="1"/>
            <w:rtl w:val="0"/>
          </w:rPr>
          <w:t xml:space="preserve">Proceedings of the Prehistoric Society</w:t>
        </w:r>
      </w:hyperlink>
      <w:hyperlink r:id="rId24">
        <w:r w:rsidDel="00000000" w:rsidR="00000000" w:rsidRPr="00000000">
          <w:rPr>
            <w:rtl w:val="0"/>
          </w:rPr>
          <w:t xml:space="preserve"> 22: 6–22.</w:t>
        </w:r>
      </w:hyperlink>
      <w:r w:rsidDel="00000000" w:rsidR="00000000" w:rsidRPr="00000000">
        <w:rPr>
          <w:rtl w:val="0"/>
        </w:rPr>
      </w:r>
    </w:p>
    <w:p w:rsidR="00000000" w:rsidDel="00000000" w:rsidP="00000000" w:rsidRDefault="00000000" w:rsidRPr="00000000" w14:paraId="00000086">
      <w:pPr>
        <w:contextualSpacing w:val="0"/>
        <w:jc w:val="both"/>
        <w:rPr/>
      </w:pPr>
      <w:r w:rsidDel="00000000" w:rsidR="00000000" w:rsidRPr="00000000">
        <w:rPr>
          <w:rtl w:val="0"/>
        </w:rPr>
      </w:r>
    </w:p>
    <w:p w:rsidR="00000000" w:rsidDel="00000000" w:rsidP="00000000" w:rsidRDefault="00000000" w:rsidRPr="00000000" w14:paraId="00000087">
      <w:pPr>
        <w:contextualSpacing w:val="0"/>
        <w:jc w:val="both"/>
        <w:rPr/>
      </w:pPr>
      <w:hyperlink r:id="rId25">
        <w:r w:rsidDel="00000000" w:rsidR="00000000" w:rsidRPr="00000000">
          <w:rPr>
            <w:rtl w:val="0"/>
          </w:rPr>
          <w:t xml:space="preserve">Davis-King, S. 1980. “A Note on New Barbed Points from Brandesburton, North Humberside.” </w:t>
        </w:r>
      </w:hyperlink>
      <w:hyperlink r:id="rId26">
        <w:r w:rsidDel="00000000" w:rsidR="00000000" w:rsidRPr="00000000">
          <w:rPr>
            <w:i w:val="1"/>
            <w:rtl w:val="0"/>
          </w:rPr>
          <w:t xml:space="preserve">Archaeological Journal</w:t>
        </w:r>
      </w:hyperlink>
      <w:hyperlink r:id="rId27">
        <w:r w:rsidDel="00000000" w:rsidR="00000000" w:rsidRPr="00000000">
          <w:rPr>
            <w:rtl w:val="0"/>
          </w:rPr>
          <w:t xml:space="preserve"> 137: 22–26.</w:t>
        </w:r>
      </w:hyperlink>
      <w:r w:rsidDel="00000000" w:rsidR="00000000" w:rsidRPr="00000000">
        <w:rPr>
          <w:rtl w:val="0"/>
        </w:rPr>
      </w:r>
    </w:p>
    <w:p w:rsidR="00000000" w:rsidDel="00000000" w:rsidP="00000000" w:rsidRDefault="00000000" w:rsidRPr="00000000" w14:paraId="00000088">
      <w:pPr>
        <w:contextualSpacing w:val="0"/>
        <w:jc w:val="both"/>
        <w:rPr/>
      </w:pPr>
      <w:r w:rsidDel="00000000" w:rsidR="00000000" w:rsidRPr="00000000">
        <w:rPr>
          <w:rtl w:val="0"/>
        </w:rPr>
      </w:r>
    </w:p>
    <w:p w:rsidR="00000000" w:rsidDel="00000000" w:rsidP="00000000" w:rsidRDefault="00000000" w:rsidRPr="00000000" w14:paraId="00000089">
      <w:pPr>
        <w:contextualSpacing w:val="0"/>
        <w:jc w:val="both"/>
        <w:rPr/>
      </w:pPr>
      <w:r w:rsidDel="00000000" w:rsidR="00000000" w:rsidRPr="00000000">
        <w:rPr>
          <w:color w:val="0d0d0d"/>
          <w:rtl w:val="0"/>
        </w:rPr>
        <w:t xml:space="preserve">Gilbertson, D. D. 1984. “Early Neolithic Utilisation and Management of Alder Carr at Skipsea Withow Mere, Holderness.” </w:t>
      </w:r>
      <w:r w:rsidDel="00000000" w:rsidR="00000000" w:rsidRPr="00000000">
        <w:rPr>
          <w:i w:val="1"/>
          <w:color w:val="0d0d0d"/>
          <w:rtl w:val="0"/>
        </w:rPr>
        <w:t xml:space="preserve">Yorkshire Archaeological Journal</w:t>
      </w:r>
      <w:r w:rsidDel="00000000" w:rsidR="00000000" w:rsidRPr="00000000">
        <w:rPr>
          <w:color w:val="0d0d0d"/>
          <w:rtl w:val="0"/>
        </w:rPr>
        <w:t xml:space="preserve"> 56 (1): 17-22.</w:t>
      </w:r>
      <w:r w:rsidDel="00000000" w:rsidR="00000000" w:rsidRPr="00000000">
        <w:rPr>
          <w:rtl w:val="0"/>
        </w:rPr>
      </w:r>
    </w:p>
    <w:p w:rsidR="00000000" w:rsidDel="00000000" w:rsidP="00000000" w:rsidRDefault="00000000" w:rsidRPr="00000000" w14:paraId="0000008A">
      <w:pPr>
        <w:contextualSpacing w:val="0"/>
        <w:jc w:val="both"/>
        <w:rPr/>
      </w:pPr>
      <w:r w:rsidDel="00000000" w:rsidR="00000000" w:rsidRPr="00000000">
        <w:rPr>
          <w:rtl w:val="0"/>
        </w:rPr>
      </w:r>
    </w:p>
    <w:p w:rsidR="00000000" w:rsidDel="00000000" w:rsidP="00000000" w:rsidRDefault="00000000" w:rsidRPr="00000000" w14:paraId="0000008B">
      <w:pPr>
        <w:contextualSpacing w:val="0"/>
        <w:jc w:val="both"/>
        <w:rPr/>
      </w:pPr>
      <w:hyperlink r:id="rId28">
        <w:r w:rsidDel="00000000" w:rsidR="00000000" w:rsidRPr="00000000">
          <w:rPr>
            <w:rtl w:val="0"/>
          </w:rPr>
          <w:t xml:space="preserve">Godwin, H., and M. Godwin. 1933. “British Maglemosian Harpoon Sites.” </w:t>
        </w:r>
      </w:hyperlink>
      <w:hyperlink r:id="rId29">
        <w:r w:rsidDel="00000000" w:rsidR="00000000" w:rsidRPr="00000000">
          <w:rPr>
            <w:i w:val="1"/>
            <w:rtl w:val="0"/>
          </w:rPr>
          <w:t xml:space="preserve">Antiquity</w:t>
        </w:r>
      </w:hyperlink>
      <w:hyperlink r:id="rId30">
        <w:r w:rsidDel="00000000" w:rsidR="00000000" w:rsidRPr="00000000">
          <w:rPr>
            <w:rtl w:val="0"/>
          </w:rPr>
          <w:t xml:space="preserve"> 7: 36–48.</w:t>
        </w:r>
      </w:hyperlink>
      <w:r w:rsidDel="00000000" w:rsidR="00000000" w:rsidRPr="00000000">
        <w:rPr>
          <w:rtl w:val="0"/>
        </w:rPr>
      </w:r>
    </w:p>
    <w:p w:rsidR="00000000" w:rsidDel="00000000" w:rsidP="00000000" w:rsidRDefault="00000000" w:rsidRPr="00000000" w14:paraId="0000008C">
      <w:pPr>
        <w:contextualSpacing w:val="0"/>
        <w:jc w:val="both"/>
        <w:rPr/>
      </w:pPr>
      <w:r w:rsidDel="00000000" w:rsidR="00000000" w:rsidRPr="00000000">
        <w:rPr>
          <w:rtl w:val="0"/>
        </w:rPr>
      </w:r>
    </w:p>
    <w:p w:rsidR="00000000" w:rsidDel="00000000" w:rsidP="00000000" w:rsidRDefault="00000000" w:rsidRPr="00000000" w14:paraId="0000008D">
      <w:pPr>
        <w:contextualSpacing w:val="0"/>
        <w:jc w:val="both"/>
        <w:rPr/>
      </w:pPr>
      <w:hyperlink r:id="rId31">
        <w:r w:rsidDel="00000000" w:rsidR="00000000" w:rsidRPr="00000000">
          <w:rPr>
            <w:rtl w:val="0"/>
          </w:rPr>
          <w:t xml:space="preserve">Jacobi, R. M. 1976. “Britain Inside and Outside Mesolithic Europe.” </w:t>
        </w:r>
      </w:hyperlink>
      <w:hyperlink r:id="rId32">
        <w:r w:rsidDel="00000000" w:rsidR="00000000" w:rsidRPr="00000000">
          <w:rPr>
            <w:i w:val="1"/>
            <w:rtl w:val="0"/>
          </w:rPr>
          <w:t xml:space="preserve">Proceedings of the Prehistoric Society</w:t>
        </w:r>
      </w:hyperlink>
      <w:hyperlink r:id="rId33">
        <w:r w:rsidDel="00000000" w:rsidR="00000000" w:rsidRPr="00000000">
          <w:rPr>
            <w:rtl w:val="0"/>
          </w:rPr>
          <w:t xml:space="preserve"> 42: 67–84.</w:t>
        </w:r>
      </w:hyperlink>
      <w:r w:rsidDel="00000000" w:rsidR="00000000" w:rsidRPr="00000000">
        <w:rPr>
          <w:rtl w:val="0"/>
        </w:rPr>
      </w:r>
    </w:p>
    <w:p w:rsidR="00000000" w:rsidDel="00000000" w:rsidP="00000000" w:rsidRDefault="00000000" w:rsidRPr="00000000" w14:paraId="0000008E">
      <w:pPr>
        <w:contextualSpacing w:val="0"/>
        <w:jc w:val="both"/>
        <w:rPr/>
      </w:pPr>
      <w:r w:rsidDel="00000000" w:rsidR="00000000" w:rsidRPr="00000000">
        <w:rPr>
          <w:rtl w:val="0"/>
        </w:rPr>
      </w:r>
    </w:p>
    <w:p w:rsidR="00000000" w:rsidDel="00000000" w:rsidP="00000000" w:rsidRDefault="00000000" w:rsidRPr="00000000" w14:paraId="0000008F">
      <w:pPr>
        <w:contextualSpacing w:val="0"/>
        <w:jc w:val="both"/>
        <w:rPr/>
      </w:pPr>
      <w:r w:rsidDel="00000000" w:rsidR="00000000" w:rsidRPr="00000000">
        <w:rPr>
          <w:rtl w:val="0"/>
        </w:rPr>
        <w:t xml:space="preserve">Knight, R., N. Milner, T. O’Conner, B. Elliot, H. K. Robson, M. Buckley, P. Witkowski et al. 2018. “Faunal remains: results by species”. In </w:t>
      </w:r>
      <w:r w:rsidDel="00000000" w:rsidR="00000000" w:rsidRPr="00000000">
        <w:rPr>
          <w:i w:val="1"/>
          <w:rtl w:val="0"/>
        </w:rPr>
        <w:t xml:space="preserve">Star Carr, Volume 2: studies in technology, subsistence and environment</w:t>
      </w:r>
      <w:r w:rsidDel="00000000" w:rsidR="00000000" w:rsidRPr="00000000">
        <w:rPr>
          <w:rtl w:val="0"/>
        </w:rPr>
        <w:t xml:space="preserve">, edited by Milner, N., C. Conneller and B. Taylor, 195-254. York: White Rose University Press. DOI: https://doi.org/10.22599/book2.i.</w:t>
      </w:r>
    </w:p>
    <w:p w:rsidR="00000000" w:rsidDel="00000000" w:rsidP="00000000" w:rsidRDefault="00000000" w:rsidRPr="00000000" w14:paraId="00000090">
      <w:pPr>
        <w:contextualSpacing w:val="0"/>
        <w:jc w:val="both"/>
        <w:rPr>
          <w:color w:val="222222"/>
        </w:rPr>
      </w:pPr>
      <w:r w:rsidDel="00000000" w:rsidR="00000000" w:rsidRPr="00000000">
        <w:rPr>
          <w:rtl w:val="0"/>
        </w:rPr>
      </w:r>
    </w:p>
    <w:p w:rsidR="00000000" w:rsidDel="00000000" w:rsidP="00000000" w:rsidRDefault="00000000" w:rsidRPr="00000000" w14:paraId="00000091">
      <w:pPr>
        <w:contextualSpacing w:val="0"/>
        <w:jc w:val="both"/>
        <w:rPr/>
      </w:pPr>
      <w:r w:rsidDel="00000000" w:rsidR="00000000" w:rsidRPr="00000000">
        <w:rPr>
          <w:color w:val="222222"/>
          <w:rtl w:val="0"/>
        </w:rPr>
        <w:t xml:space="preserve">Knight, B., N. Milner, B. Taylor, B. Elliot, and T. O’Connor 2018. “Assembling animals”. In </w:t>
      </w:r>
      <w:r w:rsidDel="00000000" w:rsidR="00000000" w:rsidRPr="00000000">
        <w:rPr>
          <w:i w:val="1"/>
          <w:color w:val="222222"/>
          <w:rtl w:val="0"/>
        </w:rPr>
        <w:t xml:space="preserve">Star Carr, Volume 1: a persistent place in a changing world</w:t>
      </w:r>
      <w:r w:rsidDel="00000000" w:rsidR="00000000" w:rsidRPr="00000000">
        <w:rPr>
          <w:color w:val="222222"/>
          <w:rtl w:val="0"/>
        </w:rPr>
        <w:t xml:space="preserve">, edited by Milner, N., C. Conneller and B. Taylor, 123-156. White Rose University Press: York.</w:t>
      </w:r>
      <w:r w:rsidDel="00000000" w:rsidR="00000000" w:rsidRPr="00000000">
        <w:rPr>
          <w:color w:val="222222"/>
          <w:rtl w:val="0"/>
        </w:rPr>
        <w:t xml:space="preserve"> DOI: https://doi.org/10.22599/book1.g.</w:t>
      </w:r>
      <w:r w:rsidDel="00000000" w:rsidR="00000000" w:rsidRPr="00000000">
        <w:rPr>
          <w:rtl w:val="0"/>
        </w:rPr>
      </w:r>
    </w:p>
    <w:p w:rsidR="00000000" w:rsidDel="00000000" w:rsidP="00000000" w:rsidRDefault="00000000" w:rsidRPr="00000000" w14:paraId="00000092">
      <w:pPr>
        <w:contextualSpacing w:val="0"/>
        <w:jc w:val="both"/>
        <w:rPr/>
      </w:pPr>
      <w:r w:rsidDel="00000000" w:rsidR="00000000" w:rsidRPr="00000000">
        <w:rPr>
          <w:rtl w:val="0"/>
        </w:rPr>
      </w:r>
    </w:p>
    <w:p w:rsidR="00000000" w:rsidDel="00000000" w:rsidP="00000000" w:rsidRDefault="00000000" w:rsidRPr="00000000" w14:paraId="00000093">
      <w:pPr>
        <w:contextualSpacing w:val="0"/>
        <w:jc w:val="both"/>
        <w:rPr/>
      </w:pPr>
      <w:r w:rsidDel="00000000" w:rsidR="00000000" w:rsidRPr="00000000">
        <w:rPr>
          <w:rtl w:val="0"/>
        </w:rPr>
        <w:t xml:space="preserve">Purdue, J. R. 1983. “Epiphyseal closure in white-tailed deer”. </w:t>
      </w:r>
      <w:r w:rsidDel="00000000" w:rsidR="00000000" w:rsidRPr="00000000">
        <w:rPr>
          <w:i w:val="1"/>
          <w:rtl w:val="0"/>
        </w:rPr>
        <w:t xml:space="preserve">The Journal of Wildlife Management</w:t>
      </w:r>
      <w:r w:rsidDel="00000000" w:rsidR="00000000" w:rsidRPr="00000000">
        <w:rPr>
          <w:rtl w:val="0"/>
        </w:rPr>
        <w:t xml:space="preserve"> 47 (4): 1207-13.</w:t>
      </w:r>
    </w:p>
    <w:p w:rsidR="00000000" w:rsidDel="00000000" w:rsidP="00000000" w:rsidRDefault="00000000" w:rsidRPr="00000000" w14:paraId="00000094">
      <w:pPr>
        <w:contextualSpacing w:val="0"/>
        <w:jc w:val="both"/>
        <w:rPr/>
      </w:pPr>
      <w:r w:rsidDel="00000000" w:rsidR="00000000" w:rsidRPr="00000000">
        <w:rPr>
          <w:rtl w:val="0"/>
        </w:rPr>
      </w:r>
    </w:p>
    <w:p w:rsidR="00000000" w:rsidDel="00000000" w:rsidP="00000000" w:rsidRDefault="00000000" w:rsidRPr="00000000" w14:paraId="00000095">
      <w:pPr>
        <w:contextualSpacing w:val="0"/>
        <w:jc w:val="both"/>
        <w:rPr/>
      </w:pPr>
      <w:hyperlink r:id="rId34">
        <w:r w:rsidDel="00000000" w:rsidR="00000000" w:rsidRPr="00000000">
          <w:rPr>
            <w:rtl w:val="0"/>
          </w:rPr>
          <w:t xml:space="preserve">Radley, J. 1969. “A Note on Four Maglemosian Bone Points from Brandesburton, and a Flint Site at Brigham, Yorkshire.” </w:t>
        </w:r>
      </w:hyperlink>
      <w:hyperlink r:id="rId35">
        <w:r w:rsidDel="00000000" w:rsidR="00000000" w:rsidRPr="00000000">
          <w:rPr>
            <w:i w:val="1"/>
            <w:rtl w:val="0"/>
          </w:rPr>
          <w:t xml:space="preserve">Journal of the Royal Society of Antiquaries of Ireland. Royal Society of Antiquaries of Ireland</w:t>
        </w:r>
      </w:hyperlink>
      <w:hyperlink r:id="rId36">
        <w:r w:rsidDel="00000000" w:rsidR="00000000" w:rsidRPr="00000000">
          <w:rPr>
            <w:rtl w:val="0"/>
          </w:rPr>
          <w:t xml:space="preserve"> 49 (2): 377–78.</w:t>
        </w:r>
      </w:hyperlink>
      <w:r w:rsidDel="00000000" w:rsidR="00000000" w:rsidRPr="00000000">
        <w:rPr>
          <w:rtl w:val="0"/>
        </w:rPr>
      </w:r>
    </w:p>
    <w:p w:rsidR="00000000" w:rsidDel="00000000" w:rsidP="00000000" w:rsidRDefault="00000000" w:rsidRPr="00000000" w14:paraId="00000096">
      <w:pPr>
        <w:contextualSpacing w:val="0"/>
        <w:jc w:val="both"/>
        <w:rPr/>
      </w:pPr>
      <w:r w:rsidDel="00000000" w:rsidR="00000000" w:rsidRPr="00000000">
        <w:rPr>
          <w:rtl w:val="0"/>
        </w:rPr>
      </w:r>
    </w:p>
    <w:p w:rsidR="00000000" w:rsidDel="00000000" w:rsidP="00000000" w:rsidRDefault="00000000" w:rsidRPr="00000000" w14:paraId="00000097">
      <w:pPr>
        <w:contextualSpacing w:val="0"/>
        <w:jc w:val="both"/>
        <w:rPr/>
      </w:pPr>
      <w:hyperlink r:id="rId37">
        <w:r w:rsidDel="00000000" w:rsidR="00000000" w:rsidRPr="00000000">
          <w:rPr>
            <w:rtl w:val="0"/>
          </w:rPr>
          <w:t xml:space="preserve">Read, C. H., A. Smith Woodward and P. F. Kendall. 1923. “On Two Bone Harpoons from Hornsea, E. Yorks.” </w:t>
        </w:r>
      </w:hyperlink>
      <w:hyperlink r:id="rId38">
        <w:r w:rsidDel="00000000" w:rsidR="00000000" w:rsidRPr="00000000">
          <w:rPr>
            <w:i w:val="1"/>
            <w:rtl w:val="0"/>
          </w:rPr>
          <w:t xml:space="preserve">Man</w:t>
        </w:r>
      </w:hyperlink>
      <w:hyperlink r:id="rId39">
        <w:r w:rsidDel="00000000" w:rsidR="00000000" w:rsidRPr="00000000">
          <w:rPr>
            <w:rtl w:val="0"/>
          </w:rPr>
          <w:t xml:space="preserve"> 23: 49–50.</w:t>
        </w:r>
      </w:hyperlink>
      <w:r w:rsidDel="00000000" w:rsidR="00000000" w:rsidRPr="00000000">
        <w:rPr>
          <w:rtl w:val="0"/>
        </w:rPr>
      </w:r>
    </w:p>
    <w:p w:rsidR="00000000" w:rsidDel="00000000" w:rsidP="00000000" w:rsidRDefault="00000000" w:rsidRPr="00000000" w14:paraId="00000098">
      <w:pPr>
        <w:contextualSpacing w:val="0"/>
        <w:jc w:val="both"/>
        <w:rPr/>
      </w:pPr>
      <w:r w:rsidDel="00000000" w:rsidR="00000000" w:rsidRPr="00000000">
        <w:rPr>
          <w:rtl w:val="0"/>
        </w:rPr>
      </w:r>
    </w:p>
    <w:p w:rsidR="00000000" w:rsidDel="00000000" w:rsidP="00000000" w:rsidRDefault="00000000" w:rsidRPr="00000000" w14:paraId="00000099">
      <w:pPr>
        <w:contextualSpacing w:val="0"/>
        <w:jc w:val="both"/>
        <w:rPr/>
      </w:pPr>
      <w:hyperlink r:id="rId40">
        <w:r w:rsidDel="00000000" w:rsidR="00000000" w:rsidRPr="00000000">
          <w:rPr>
            <w:rtl w:val="0"/>
          </w:rPr>
          <w:t xml:space="preserve">Sheldrick, C., J. Lowe, and M. J. Reynier. 1997. “Palaeolithic Barbed Point from Gransmoor, East Yorkshire, England.” </w:t>
        </w:r>
      </w:hyperlink>
      <w:hyperlink r:id="rId41">
        <w:r w:rsidDel="00000000" w:rsidR="00000000" w:rsidRPr="00000000">
          <w:rPr>
            <w:i w:val="1"/>
            <w:rtl w:val="0"/>
          </w:rPr>
          <w:t xml:space="preserve">Proceedings of the Prehistoric Society</w:t>
        </w:r>
      </w:hyperlink>
      <w:hyperlink r:id="rId42">
        <w:r w:rsidDel="00000000" w:rsidR="00000000" w:rsidRPr="00000000">
          <w:rPr>
            <w:rtl w:val="0"/>
          </w:rPr>
          <w:t xml:space="preserve"> 63: 359–70.</w:t>
        </w:r>
      </w:hyperlink>
      <w:r w:rsidDel="00000000" w:rsidR="00000000" w:rsidRPr="00000000">
        <w:rPr>
          <w:rtl w:val="0"/>
        </w:rPr>
      </w:r>
    </w:p>
    <w:p w:rsidR="00000000" w:rsidDel="00000000" w:rsidP="00000000" w:rsidRDefault="00000000" w:rsidRPr="00000000" w14:paraId="0000009A">
      <w:pPr>
        <w:contextualSpacing w:val="0"/>
        <w:jc w:val="both"/>
        <w:rPr/>
      </w:pPr>
      <w:r w:rsidDel="00000000" w:rsidR="00000000" w:rsidRPr="00000000">
        <w:rPr>
          <w:rtl w:val="0"/>
        </w:rPr>
      </w:r>
    </w:p>
    <w:p w:rsidR="00000000" w:rsidDel="00000000" w:rsidP="00000000" w:rsidRDefault="00000000" w:rsidRPr="00000000" w14:paraId="0000009B">
      <w:pPr>
        <w:contextualSpacing w:val="0"/>
        <w:jc w:val="both"/>
        <w:rPr/>
      </w:pPr>
      <w:r w:rsidDel="00000000" w:rsidR="00000000" w:rsidRPr="00000000">
        <w:rPr>
          <w:rtl w:val="0"/>
        </w:rPr>
        <w:t xml:space="preserve">Sitch, B.J. and R. Jacobi 1999. “The great Holderness Harpoon Controversy”, </w:t>
      </w:r>
      <w:r w:rsidDel="00000000" w:rsidR="00000000" w:rsidRPr="00000000">
        <w:rPr>
          <w:i w:val="1"/>
          <w:rtl w:val="0"/>
        </w:rPr>
        <w:t xml:space="preserve">Yorkshire Archaeological Journal</w:t>
      </w:r>
      <w:r w:rsidDel="00000000" w:rsidR="00000000" w:rsidRPr="00000000">
        <w:rPr>
          <w:rtl w:val="0"/>
        </w:rPr>
        <w:t xml:space="preserve"> 71: 1-22.</w:t>
      </w:r>
    </w:p>
    <w:p w:rsidR="00000000" w:rsidDel="00000000" w:rsidP="00000000" w:rsidRDefault="00000000" w:rsidRPr="00000000" w14:paraId="0000009C">
      <w:pPr>
        <w:contextualSpacing w:val="0"/>
        <w:jc w:val="both"/>
        <w:rPr/>
      </w:pPr>
      <w:r w:rsidDel="00000000" w:rsidR="00000000" w:rsidRPr="00000000">
        <w:rPr>
          <w:rtl w:val="0"/>
        </w:rPr>
      </w:r>
    </w:p>
    <w:p w:rsidR="00000000" w:rsidDel="00000000" w:rsidP="00000000" w:rsidRDefault="00000000" w:rsidRPr="00000000" w14:paraId="0000009D">
      <w:pPr>
        <w:contextualSpacing w:val="0"/>
        <w:jc w:val="both"/>
        <w:rPr/>
      </w:pPr>
      <w:r w:rsidDel="00000000" w:rsidR="00000000" w:rsidRPr="00000000">
        <w:rPr>
          <w:rtl w:val="0"/>
        </w:rPr>
        <w:t xml:space="preserve">Sørensen, M., H. Lübke and D. Gross 2018. “The Early Mesolithic in Southern Scandinavia and Northern Germany”. </w:t>
      </w:r>
      <w:r w:rsidDel="00000000" w:rsidR="00000000" w:rsidRPr="00000000">
        <w:rPr>
          <w:color w:val="222222"/>
          <w:rtl w:val="0"/>
        </w:rPr>
        <w:t xml:space="preserve">In </w:t>
      </w:r>
      <w:r w:rsidDel="00000000" w:rsidR="00000000" w:rsidRPr="00000000">
        <w:rPr>
          <w:i w:val="1"/>
          <w:color w:val="222222"/>
          <w:rtl w:val="0"/>
        </w:rPr>
        <w:t xml:space="preserve">Star Carr, Volume 2: studies in technology, subsistence and environment</w:t>
      </w:r>
      <w:r w:rsidDel="00000000" w:rsidR="00000000" w:rsidRPr="00000000">
        <w:rPr>
          <w:color w:val="222222"/>
          <w:rtl w:val="0"/>
        </w:rPr>
        <w:t xml:space="preserve">, edited by Milner, N., C. Conneller and B. Taylor, 305-330. York: White Rose University Press.</w:t>
      </w:r>
      <w:r w:rsidDel="00000000" w:rsidR="00000000" w:rsidRPr="00000000">
        <w:rPr>
          <w:color w:val="222222"/>
          <w:rtl w:val="0"/>
        </w:rPr>
        <w:t xml:space="preserve"> DOI: https://doi.org/10.22599/book1.l. </w:t>
      </w:r>
      <w:r w:rsidDel="00000000" w:rsidR="00000000" w:rsidRPr="00000000">
        <w:rPr>
          <w:rtl w:val="0"/>
        </w:rPr>
      </w:r>
    </w:p>
    <w:p w:rsidR="00000000" w:rsidDel="00000000" w:rsidP="00000000" w:rsidRDefault="00000000" w:rsidRPr="00000000" w14:paraId="0000009E">
      <w:pPr>
        <w:contextualSpacing w:val="0"/>
        <w:jc w:val="both"/>
        <w:rPr/>
      </w:pPr>
      <w:r w:rsidDel="00000000" w:rsidR="00000000" w:rsidRPr="00000000">
        <w:rPr>
          <w:rtl w:val="0"/>
        </w:rPr>
      </w:r>
    </w:p>
    <w:p w:rsidR="00000000" w:rsidDel="00000000" w:rsidP="00000000" w:rsidRDefault="00000000" w:rsidRPr="00000000" w14:paraId="0000009F">
      <w:pPr>
        <w:contextualSpacing w:val="0"/>
        <w:jc w:val="both"/>
        <w:rPr/>
      </w:pPr>
      <w:hyperlink r:id="rId43">
        <w:r w:rsidDel="00000000" w:rsidR="00000000" w:rsidRPr="00000000">
          <w:rPr>
            <w:rtl w:val="0"/>
          </w:rPr>
          <w:t xml:space="preserve">Wymer, J., R. Jacobi, and J. Rose. 1975. “Late Devensian and Early Flandrian Barbed Points from Sproughton, Suffolk.” </w:t>
        </w:r>
      </w:hyperlink>
      <w:hyperlink r:id="rId44">
        <w:r w:rsidDel="00000000" w:rsidR="00000000" w:rsidRPr="00000000">
          <w:rPr>
            <w:i w:val="1"/>
            <w:rtl w:val="0"/>
          </w:rPr>
          <w:t xml:space="preserve">Proceedings of the Prehistoric Society</w:t>
        </w:r>
      </w:hyperlink>
      <w:hyperlink r:id="rId45">
        <w:r w:rsidDel="00000000" w:rsidR="00000000" w:rsidRPr="00000000">
          <w:rPr>
            <w:rtl w:val="0"/>
          </w:rPr>
          <w:t xml:space="preserve"> 41: 235–41.</w:t>
        </w:r>
      </w:hyperlink>
      <w:r w:rsidDel="00000000" w:rsidR="00000000" w:rsidRPr="00000000">
        <w:rPr>
          <w:rtl w:val="0"/>
        </w:rPr>
      </w:r>
    </w:p>
    <w:p w:rsidR="00000000" w:rsidDel="00000000" w:rsidP="00000000" w:rsidRDefault="00000000" w:rsidRPr="00000000" w14:paraId="000000A0">
      <w:pPr>
        <w:contextualSpacing w:val="0"/>
        <w:rPr/>
      </w:pPr>
      <w:r w:rsidDel="00000000" w:rsidR="00000000" w:rsidRPr="00000000">
        <w:rPr>
          <w:rtl w:val="0"/>
        </w:rPr>
      </w:r>
    </w:p>
    <w:p w:rsidR="00000000" w:rsidDel="00000000" w:rsidP="00000000" w:rsidRDefault="00000000" w:rsidRPr="00000000" w14:paraId="000000A1">
      <w:pPr>
        <w:contextualSpacing w:val="0"/>
        <w:rPr/>
      </w:pPr>
      <w:r w:rsidDel="00000000" w:rsidR="00000000" w:rsidRPr="00000000">
        <w:rPr>
          <w:rtl w:val="0"/>
        </w:rPr>
      </w:r>
    </w:p>
    <w:p w:rsidR="00000000" w:rsidDel="00000000" w:rsidP="00000000" w:rsidRDefault="00000000" w:rsidRPr="00000000" w14:paraId="000000A2">
      <w:pPr>
        <w:contextualSpacing w:val="0"/>
        <w:rPr/>
      </w:pPr>
      <w:r w:rsidDel="00000000" w:rsidR="00000000" w:rsidRPr="00000000">
        <w:rPr>
          <w:rtl w:val="0"/>
        </w:rPr>
        <w:t xml:space="preserve">Figure captions</w:t>
      </w:r>
    </w:p>
    <w:p w:rsidR="00000000" w:rsidDel="00000000" w:rsidP="00000000" w:rsidRDefault="00000000" w:rsidRPr="00000000" w14:paraId="000000A3">
      <w:pPr>
        <w:contextualSpacing w:val="0"/>
        <w:rPr/>
      </w:pPr>
      <w:r w:rsidDel="00000000" w:rsidR="00000000" w:rsidRPr="00000000">
        <w:rPr/>
        <w:drawing>
          <wp:inline distB="114300" distT="114300" distL="114300" distR="114300">
            <wp:extent cx="5734050" cy="4254500"/>
            <wp:effectExtent b="0" l="0" r="0" t="0"/>
            <wp:docPr id="8" name="image18.png"/>
            <a:graphic>
              <a:graphicData uri="http://schemas.openxmlformats.org/drawingml/2006/picture">
                <pic:pic>
                  <pic:nvPicPr>
                    <pic:cNvPr id="0" name="image18.png"/>
                    <pic:cNvPicPr preferRelativeResize="0"/>
                  </pic:nvPicPr>
                  <pic:blipFill>
                    <a:blip r:embed="rId46"/>
                    <a:srcRect b="0" l="0" r="0" t="0"/>
                    <a:stretch>
                      <a:fillRect/>
                    </a:stretch>
                  </pic:blipFill>
                  <pic:spPr>
                    <a:xfrm>
                      <a:off x="0" y="0"/>
                      <a:ext cx="5734050" cy="4254500"/>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contextualSpacing w:val="0"/>
        <w:rPr/>
      </w:pPr>
      <w:r w:rsidDel="00000000" w:rsidR="00000000" w:rsidRPr="00000000">
        <w:rPr>
          <w:rtl w:val="0"/>
        </w:rPr>
      </w:r>
    </w:p>
    <w:p w:rsidR="00000000" w:rsidDel="00000000" w:rsidP="00000000" w:rsidRDefault="00000000" w:rsidRPr="00000000" w14:paraId="000000A5">
      <w:pPr>
        <w:contextualSpacing w:val="0"/>
        <w:rPr/>
      </w:pPr>
      <w:r w:rsidDel="00000000" w:rsidR="00000000" w:rsidRPr="00000000">
        <w:rPr>
          <w:rtl w:val="0"/>
        </w:rPr>
        <w:t xml:space="preserve">Figure 1: The dark brown lens beneath the lighter brown sediment at the top represents what was formerly a mere (Photograph: Nicky Milner).</w:t>
      </w:r>
    </w:p>
    <w:p w:rsidR="00000000" w:rsidDel="00000000" w:rsidP="00000000" w:rsidRDefault="00000000" w:rsidRPr="00000000" w14:paraId="000000A6">
      <w:pPr>
        <w:contextualSpacing w:val="0"/>
        <w:rPr/>
      </w:pPr>
      <w:r w:rsidDel="00000000" w:rsidR="00000000" w:rsidRPr="00000000">
        <w:rPr>
          <w:rtl w:val="0"/>
        </w:rPr>
      </w:r>
    </w:p>
    <w:p w:rsidR="00000000" w:rsidDel="00000000" w:rsidP="00000000" w:rsidRDefault="00000000" w:rsidRPr="00000000" w14:paraId="000000A7">
      <w:pPr>
        <w:contextualSpacing w:val="0"/>
        <w:rPr/>
      </w:pPr>
      <w:r w:rsidDel="00000000" w:rsidR="00000000" w:rsidRPr="00000000">
        <w:rPr/>
        <w:drawing>
          <wp:inline distB="114300" distT="114300" distL="114300" distR="114300">
            <wp:extent cx="4314825" cy="5505450"/>
            <wp:effectExtent b="0" l="0" r="0" t="0"/>
            <wp:docPr id="9" name="image19.png"/>
            <a:graphic>
              <a:graphicData uri="http://schemas.openxmlformats.org/drawingml/2006/picture">
                <pic:pic>
                  <pic:nvPicPr>
                    <pic:cNvPr id="0" name="image19.png"/>
                    <pic:cNvPicPr preferRelativeResize="0"/>
                  </pic:nvPicPr>
                  <pic:blipFill>
                    <a:blip r:embed="rId47"/>
                    <a:srcRect b="0" l="0" r="0" t="0"/>
                    <a:stretch>
                      <a:fillRect/>
                    </a:stretch>
                  </pic:blipFill>
                  <pic:spPr>
                    <a:xfrm>
                      <a:off x="0" y="0"/>
                      <a:ext cx="4314825" cy="5505450"/>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contextualSpacing w:val="0"/>
        <w:rPr/>
      </w:pPr>
      <w:r w:rsidDel="00000000" w:rsidR="00000000" w:rsidRPr="00000000">
        <w:rPr>
          <w:rtl w:val="0"/>
        </w:rPr>
      </w:r>
    </w:p>
    <w:p w:rsidR="00000000" w:rsidDel="00000000" w:rsidP="00000000" w:rsidRDefault="00000000" w:rsidRPr="00000000" w14:paraId="000000A9">
      <w:pPr>
        <w:contextualSpacing w:val="0"/>
        <w:rPr/>
      </w:pPr>
      <w:r w:rsidDel="00000000" w:rsidR="00000000" w:rsidRPr="00000000">
        <w:rPr>
          <w:rtl w:val="0"/>
        </w:rPr>
        <w:t xml:space="preserve">Figure 2: Map of geologically documented meres in the Holderness region. Meres defined by both historical and geological evidence in black, meres defined only by geological evidence in white (redrawn by Ben Elliot; after Sheppard 1957).</w:t>
      </w:r>
    </w:p>
    <w:p w:rsidR="00000000" w:rsidDel="00000000" w:rsidP="00000000" w:rsidRDefault="00000000" w:rsidRPr="00000000" w14:paraId="000000AA">
      <w:pPr>
        <w:contextualSpacing w:val="0"/>
        <w:rPr/>
      </w:pPr>
      <w:r w:rsidDel="00000000" w:rsidR="00000000" w:rsidRPr="00000000">
        <w:rPr>
          <w:rtl w:val="0"/>
        </w:rPr>
      </w:r>
    </w:p>
    <w:p w:rsidR="00000000" w:rsidDel="00000000" w:rsidP="00000000" w:rsidRDefault="00000000" w:rsidRPr="00000000" w14:paraId="000000AB">
      <w:pPr>
        <w:contextualSpacing w:val="0"/>
        <w:rPr/>
      </w:pPr>
      <w:r w:rsidDel="00000000" w:rsidR="00000000" w:rsidRPr="00000000">
        <w:rPr/>
        <w:drawing>
          <wp:inline distB="114300" distT="114300" distL="114300" distR="114300">
            <wp:extent cx="5734050" cy="4318000"/>
            <wp:effectExtent b="0" l="0" r="0" t="0"/>
            <wp:docPr id="4" name="image13.png"/>
            <a:graphic>
              <a:graphicData uri="http://schemas.openxmlformats.org/drawingml/2006/picture">
                <pic:pic>
                  <pic:nvPicPr>
                    <pic:cNvPr id="0" name="image13.png"/>
                    <pic:cNvPicPr preferRelativeResize="0"/>
                  </pic:nvPicPr>
                  <pic:blipFill>
                    <a:blip r:embed="rId48"/>
                    <a:srcRect b="0" l="0" r="0" t="0"/>
                    <a:stretch>
                      <a:fillRect/>
                    </a:stretch>
                  </pic:blipFill>
                  <pic:spPr>
                    <a:xfrm>
                      <a:off x="0" y="0"/>
                      <a:ext cx="5734050" cy="4318000"/>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contextualSpacing w:val="0"/>
        <w:rPr/>
      </w:pPr>
      <w:bookmarkStart w:colFirst="0" w:colLast="0" w:name="_3znysh7" w:id="0"/>
      <w:bookmarkEnd w:id="0"/>
      <w:r w:rsidDel="00000000" w:rsidR="00000000" w:rsidRPr="00000000">
        <w:rPr>
          <w:rtl w:val="0"/>
        </w:rPr>
        <w:t xml:space="preserve">Figure 3: Photograph of the peat and clay deposits on the exposed cliff face with pieces of wood within the peat (Photograph: Nicky Milner). </w:t>
      </w:r>
    </w:p>
    <w:p w:rsidR="00000000" w:rsidDel="00000000" w:rsidP="00000000" w:rsidRDefault="00000000" w:rsidRPr="00000000" w14:paraId="000000AD">
      <w:pPr>
        <w:contextualSpacing w:val="0"/>
        <w:rPr/>
      </w:pPr>
      <w:r w:rsidDel="00000000" w:rsidR="00000000" w:rsidRPr="00000000">
        <w:rPr>
          <w:rtl w:val="0"/>
        </w:rPr>
      </w:r>
    </w:p>
    <w:p w:rsidR="00000000" w:rsidDel="00000000" w:rsidP="00000000" w:rsidRDefault="00000000" w:rsidRPr="00000000" w14:paraId="000000AE">
      <w:pPr>
        <w:contextualSpacing w:val="0"/>
        <w:rPr/>
      </w:pPr>
      <w:r w:rsidDel="00000000" w:rsidR="00000000" w:rsidRPr="00000000">
        <w:rPr/>
        <w:drawing>
          <wp:inline distB="114300" distT="114300" distL="114300" distR="114300">
            <wp:extent cx="5734050" cy="2806700"/>
            <wp:effectExtent b="0" l="0" r="0" t="0"/>
            <wp:docPr id="10" name="image20.png"/>
            <a:graphic>
              <a:graphicData uri="http://schemas.openxmlformats.org/drawingml/2006/picture">
                <pic:pic>
                  <pic:nvPicPr>
                    <pic:cNvPr id="0" name="image20.png"/>
                    <pic:cNvPicPr preferRelativeResize="0"/>
                  </pic:nvPicPr>
                  <pic:blipFill>
                    <a:blip r:embed="rId49"/>
                    <a:srcRect b="0" l="0" r="0" t="0"/>
                    <a:stretch>
                      <a:fillRect/>
                    </a:stretch>
                  </pic:blipFill>
                  <pic:spPr>
                    <a:xfrm>
                      <a:off x="0" y="0"/>
                      <a:ext cx="573405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contextualSpacing w:val="0"/>
        <w:rPr/>
      </w:pPr>
      <w:r w:rsidDel="00000000" w:rsidR="00000000" w:rsidRPr="00000000">
        <w:rPr>
          <w:rtl w:val="0"/>
        </w:rPr>
        <w:t xml:space="preserve">Figure 4: Example of weathering and exposure creating cracks and splits in the cortical bone and uneven dry bone breaks at both ends (photograph: Becky Knight).</w:t>
      </w:r>
    </w:p>
    <w:p w:rsidR="00000000" w:rsidDel="00000000" w:rsidP="00000000" w:rsidRDefault="00000000" w:rsidRPr="00000000" w14:paraId="000000B0">
      <w:pPr>
        <w:contextualSpacing w:val="0"/>
        <w:rPr/>
      </w:pPr>
      <w:r w:rsidDel="00000000" w:rsidR="00000000" w:rsidRPr="00000000">
        <w:rPr>
          <w:rtl w:val="0"/>
        </w:rPr>
      </w:r>
    </w:p>
    <w:p w:rsidR="00000000" w:rsidDel="00000000" w:rsidP="00000000" w:rsidRDefault="00000000" w:rsidRPr="00000000" w14:paraId="000000B1">
      <w:pPr>
        <w:contextualSpacing w:val="0"/>
        <w:rPr/>
      </w:pPr>
      <w:r w:rsidDel="00000000" w:rsidR="00000000" w:rsidRPr="00000000">
        <w:rPr/>
        <w:drawing>
          <wp:inline distB="114300" distT="114300" distL="114300" distR="114300">
            <wp:extent cx="5734050" cy="3276600"/>
            <wp:effectExtent b="0" l="0" r="0" t="0"/>
            <wp:docPr id="6" name="image16.png"/>
            <a:graphic>
              <a:graphicData uri="http://schemas.openxmlformats.org/drawingml/2006/picture">
                <pic:pic>
                  <pic:nvPicPr>
                    <pic:cNvPr id="0" name="image16.png"/>
                    <pic:cNvPicPr preferRelativeResize="0"/>
                  </pic:nvPicPr>
                  <pic:blipFill>
                    <a:blip r:embed="rId50"/>
                    <a:srcRect b="0" l="0" r="0" t="0"/>
                    <a:stretch>
                      <a:fillRect/>
                    </a:stretch>
                  </pic:blipFill>
                  <pic:spPr>
                    <a:xfrm>
                      <a:off x="0" y="0"/>
                      <a:ext cx="5734050"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contextualSpacing w:val="0"/>
        <w:rPr/>
      </w:pPr>
      <w:r w:rsidDel="00000000" w:rsidR="00000000" w:rsidRPr="00000000">
        <w:rPr>
          <w:rtl w:val="0"/>
        </w:rPr>
        <w:t xml:space="preserve">Figure 5: Example of the water erosion evidence, which includes pitted and undulating bone surfaces, on the proximal tibia (Photograph: Becky Knight).</w:t>
      </w:r>
    </w:p>
    <w:p w:rsidR="00000000" w:rsidDel="00000000" w:rsidP="00000000" w:rsidRDefault="00000000" w:rsidRPr="00000000" w14:paraId="000000B3">
      <w:pPr>
        <w:contextualSpacing w:val="0"/>
        <w:rPr/>
      </w:pPr>
      <w:r w:rsidDel="00000000" w:rsidR="00000000" w:rsidRPr="00000000">
        <w:rPr>
          <w:rtl w:val="0"/>
        </w:rPr>
      </w:r>
    </w:p>
    <w:p w:rsidR="00000000" w:rsidDel="00000000" w:rsidP="00000000" w:rsidRDefault="00000000" w:rsidRPr="00000000" w14:paraId="000000B4">
      <w:pPr>
        <w:contextualSpacing w:val="0"/>
        <w:rPr/>
      </w:pPr>
      <w:r w:rsidDel="00000000" w:rsidR="00000000" w:rsidRPr="00000000">
        <w:rPr/>
        <w:drawing>
          <wp:inline distB="114300" distT="114300" distL="114300" distR="114300">
            <wp:extent cx="5734050" cy="6286500"/>
            <wp:effectExtent b="0" l="0" r="0" t="0"/>
            <wp:docPr id="2" name="image8.png"/>
            <a:graphic>
              <a:graphicData uri="http://schemas.openxmlformats.org/drawingml/2006/picture">
                <pic:pic>
                  <pic:nvPicPr>
                    <pic:cNvPr id="0" name="image8.png"/>
                    <pic:cNvPicPr preferRelativeResize="0"/>
                  </pic:nvPicPr>
                  <pic:blipFill>
                    <a:blip r:embed="rId51"/>
                    <a:srcRect b="0" l="0" r="0" t="0"/>
                    <a:stretch>
                      <a:fillRect/>
                    </a:stretch>
                  </pic:blipFill>
                  <pic:spPr>
                    <a:xfrm>
                      <a:off x="0" y="0"/>
                      <a:ext cx="5734050" cy="6286500"/>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contextualSpacing w:val="0"/>
        <w:rPr/>
      </w:pPr>
      <w:r w:rsidDel="00000000" w:rsidR="00000000" w:rsidRPr="00000000">
        <w:rPr>
          <w:rtl w:val="0"/>
        </w:rPr>
        <w:t xml:space="preserve">Figure 6: Representation of all of the red deer remains recovered from Skipsea Withow.</w:t>
      </w:r>
    </w:p>
    <w:p w:rsidR="00000000" w:rsidDel="00000000" w:rsidP="00000000" w:rsidRDefault="00000000" w:rsidRPr="00000000" w14:paraId="000000B6">
      <w:pPr>
        <w:contextualSpacing w:val="0"/>
        <w:rPr/>
      </w:pPr>
      <w:r w:rsidDel="00000000" w:rsidR="00000000" w:rsidRPr="00000000">
        <w:rPr>
          <w:rtl w:val="0"/>
        </w:rPr>
      </w:r>
    </w:p>
    <w:p w:rsidR="00000000" w:rsidDel="00000000" w:rsidP="00000000" w:rsidRDefault="00000000" w:rsidRPr="00000000" w14:paraId="000000B7">
      <w:pPr>
        <w:contextualSpacing w:val="0"/>
        <w:rPr/>
      </w:pPr>
      <w:r w:rsidDel="00000000" w:rsidR="00000000" w:rsidRPr="00000000">
        <w:rPr/>
        <w:drawing>
          <wp:inline distB="114300" distT="114300" distL="114300" distR="114300">
            <wp:extent cx="5734050" cy="4483100"/>
            <wp:effectExtent b="0" l="0" r="0" t="0"/>
            <wp:docPr id="1" name="image7.png"/>
            <a:graphic>
              <a:graphicData uri="http://schemas.openxmlformats.org/drawingml/2006/picture">
                <pic:pic>
                  <pic:nvPicPr>
                    <pic:cNvPr id="0" name="image7.png"/>
                    <pic:cNvPicPr preferRelativeResize="0"/>
                  </pic:nvPicPr>
                  <pic:blipFill>
                    <a:blip r:embed="rId52"/>
                    <a:srcRect b="0" l="0" r="0" t="0"/>
                    <a:stretch>
                      <a:fillRect/>
                    </a:stretch>
                  </pic:blipFill>
                  <pic:spPr>
                    <a:xfrm>
                      <a:off x="0" y="0"/>
                      <a:ext cx="5734050" cy="4483100"/>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contextualSpacing w:val="0"/>
        <w:rPr/>
      </w:pPr>
      <w:r w:rsidDel="00000000" w:rsidR="00000000" w:rsidRPr="00000000">
        <w:rPr>
          <w:rtl w:val="0"/>
        </w:rPr>
        <w:t xml:space="preserve">Figure 7: Photo illustrating the completely unfused nature of one of the vertebral bodies for individual 2 beside a fused vertebral body from the University of York zooarchaeological reference collection (Photograph: Becky Knight).</w:t>
      </w:r>
    </w:p>
    <w:p w:rsidR="00000000" w:rsidDel="00000000" w:rsidP="00000000" w:rsidRDefault="00000000" w:rsidRPr="00000000" w14:paraId="000000B9">
      <w:pPr>
        <w:contextualSpacing w:val="0"/>
        <w:rPr/>
      </w:pPr>
      <w:r w:rsidDel="00000000" w:rsidR="00000000" w:rsidRPr="00000000">
        <w:rPr>
          <w:rtl w:val="0"/>
        </w:rPr>
      </w:r>
    </w:p>
    <w:p w:rsidR="00000000" w:rsidDel="00000000" w:rsidP="00000000" w:rsidRDefault="00000000" w:rsidRPr="00000000" w14:paraId="000000BA">
      <w:pPr>
        <w:contextualSpacing w:val="0"/>
        <w:rPr/>
      </w:pPr>
      <w:r w:rsidDel="00000000" w:rsidR="00000000" w:rsidRPr="00000000">
        <w:rPr/>
        <w:drawing>
          <wp:inline distB="114300" distT="114300" distL="114300" distR="114300">
            <wp:extent cx="5734050" cy="4559300"/>
            <wp:effectExtent b="0" l="0" r="0" t="0"/>
            <wp:docPr id="7" name="image17.png"/>
            <a:graphic>
              <a:graphicData uri="http://schemas.openxmlformats.org/drawingml/2006/picture">
                <pic:pic>
                  <pic:nvPicPr>
                    <pic:cNvPr id="0" name="image17.png"/>
                    <pic:cNvPicPr preferRelativeResize="0"/>
                  </pic:nvPicPr>
                  <pic:blipFill>
                    <a:blip r:embed="rId53"/>
                    <a:srcRect b="0" l="0" r="0" t="0"/>
                    <a:stretch>
                      <a:fillRect/>
                    </a:stretch>
                  </pic:blipFill>
                  <pic:spPr>
                    <a:xfrm>
                      <a:off x="0" y="0"/>
                      <a:ext cx="5734050" cy="4559300"/>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contextualSpacing w:val="0"/>
        <w:rPr/>
      </w:pPr>
      <w:r w:rsidDel="00000000" w:rsidR="00000000" w:rsidRPr="00000000">
        <w:rPr>
          <w:rtl w:val="0"/>
        </w:rPr>
        <w:t xml:space="preserve">Figure 8: Size difference between the axis vertebra (right) and the thoracic vertebra with the unfused vertebral body epiphysis (left) (Photograph: Becky Knight).</w:t>
      </w:r>
    </w:p>
    <w:p w:rsidR="00000000" w:rsidDel="00000000" w:rsidP="00000000" w:rsidRDefault="00000000" w:rsidRPr="00000000" w14:paraId="000000BC">
      <w:pPr>
        <w:contextualSpacing w:val="0"/>
        <w:rPr/>
      </w:pPr>
      <w:r w:rsidDel="00000000" w:rsidR="00000000" w:rsidRPr="00000000">
        <w:rPr>
          <w:rtl w:val="0"/>
        </w:rPr>
      </w:r>
    </w:p>
    <w:p w:rsidR="00000000" w:rsidDel="00000000" w:rsidP="00000000" w:rsidRDefault="00000000" w:rsidRPr="00000000" w14:paraId="000000BD">
      <w:pPr>
        <w:contextualSpacing w:val="0"/>
        <w:rPr/>
      </w:pPr>
      <w:r w:rsidDel="00000000" w:rsidR="00000000" w:rsidRPr="00000000">
        <w:rPr/>
        <w:drawing>
          <wp:inline distB="114300" distT="114300" distL="114300" distR="114300">
            <wp:extent cx="5734050" cy="3454400"/>
            <wp:effectExtent b="0" l="0" r="0" t="0"/>
            <wp:docPr id="3" name="image9.png"/>
            <a:graphic>
              <a:graphicData uri="http://schemas.openxmlformats.org/drawingml/2006/picture">
                <pic:pic>
                  <pic:nvPicPr>
                    <pic:cNvPr id="0" name="image9.png"/>
                    <pic:cNvPicPr preferRelativeResize="0"/>
                  </pic:nvPicPr>
                  <pic:blipFill>
                    <a:blip r:embed="rId54"/>
                    <a:srcRect b="0" l="0" r="0" t="0"/>
                    <a:stretch>
                      <a:fillRect/>
                    </a:stretch>
                  </pic:blipFill>
                  <pic:spPr>
                    <a:xfrm>
                      <a:off x="0" y="0"/>
                      <a:ext cx="5734050" cy="3454400"/>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contextualSpacing w:val="0"/>
        <w:rPr/>
      </w:pPr>
      <w:r w:rsidDel="00000000" w:rsidR="00000000" w:rsidRPr="00000000">
        <w:rPr>
          <w:rtl w:val="0"/>
        </w:rPr>
        <w:t xml:space="preserve">Figure 9: Plots of length from the 3 animals from 3 long bones.</w:t>
      </w:r>
    </w:p>
    <w:p w:rsidR="00000000" w:rsidDel="00000000" w:rsidP="00000000" w:rsidRDefault="00000000" w:rsidRPr="00000000" w14:paraId="000000BF">
      <w:pPr>
        <w:contextualSpacing w:val="0"/>
        <w:rPr/>
      </w:pPr>
      <w:r w:rsidDel="00000000" w:rsidR="00000000" w:rsidRPr="00000000">
        <w:rPr>
          <w:rtl w:val="0"/>
        </w:rPr>
      </w:r>
    </w:p>
    <w:p w:rsidR="00000000" w:rsidDel="00000000" w:rsidP="00000000" w:rsidRDefault="00000000" w:rsidRPr="00000000" w14:paraId="000000C0">
      <w:pPr>
        <w:contextualSpacing w:val="0"/>
        <w:rPr/>
      </w:pPr>
      <w:r w:rsidDel="00000000" w:rsidR="00000000" w:rsidRPr="00000000">
        <w:rPr/>
        <w:drawing>
          <wp:inline distB="114300" distT="114300" distL="114300" distR="114300">
            <wp:extent cx="5734050" cy="3797300"/>
            <wp:effectExtent b="0" l="0" r="0" t="0"/>
            <wp:docPr id="5" name="image14.png"/>
            <a:graphic>
              <a:graphicData uri="http://schemas.openxmlformats.org/drawingml/2006/picture">
                <pic:pic>
                  <pic:nvPicPr>
                    <pic:cNvPr id="0" name="image14.png"/>
                    <pic:cNvPicPr preferRelativeResize="0"/>
                  </pic:nvPicPr>
                  <pic:blipFill>
                    <a:blip r:embed="rId55"/>
                    <a:srcRect b="0" l="0" r="0" t="0"/>
                    <a:stretch>
                      <a:fillRect/>
                    </a:stretch>
                  </pic:blipFill>
                  <pic:spPr>
                    <a:xfrm>
                      <a:off x="0" y="0"/>
                      <a:ext cx="5734050" cy="3797300"/>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spacing w:line="276" w:lineRule="auto"/>
        <w:contextualSpacing w:val="0"/>
        <w:rPr/>
      </w:pPr>
      <w:r w:rsidDel="00000000" w:rsidR="00000000" w:rsidRPr="00000000">
        <w:rPr>
          <w:rtl w:val="0"/>
        </w:rPr>
        <w:t xml:space="preserve">Figure 10: Probability distribution of the radiocarbon date.</w:t>
      </w:r>
    </w:p>
    <w:p w:rsidR="00000000" w:rsidDel="00000000" w:rsidP="00000000" w:rsidRDefault="00000000" w:rsidRPr="00000000" w14:paraId="000000C2">
      <w:pPr>
        <w:spacing w:line="276" w:lineRule="auto"/>
        <w:contextualSpacing w:val="0"/>
        <w:rPr/>
      </w:pPr>
      <w:r w:rsidDel="00000000" w:rsidR="00000000" w:rsidRPr="00000000">
        <w:rPr>
          <w:rtl w:val="0"/>
        </w:rPr>
      </w:r>
    </w:p>
    <w:p w:rsidR="00000000" w:rsidDel="00000000" w:rsidP="00000000" w:rsidRDefault="00000000" w:rsidRPr="00000000" w14:paraId="000000C3">
      <w:pPr>
        <w:spacing w:line="276" w:lineRule="auto"/>
        <w:contextualSpacing w:val="0"/>
        <w:rPr/>
      </w:pPr>
      <w:r w:rsidDel="00000000" w:rsidR="00000000" w:rsidRPr="00000000">
        <w:rPr>
          <w:rtl w:val="0"/>
        </w:rPr>
      </w:r>
    </w:p>
    <w:p w:rsidR="00000000" w:rsidDel="00000000" w:rsidP="00000000" w:rsidRDefault="00000000" w:rsidRPr="00000000" w14:paraId="000000C4">
      <w:pPr>
        <w:contextualSpacing w:val="0"/>
        <w:rPr/>
      </w:pPr>
      <w:r w:rsidDel="00000000" w:rsidR="00000000" w:rsidRPr="00000000">
        <w:rPr>
          <w:rtl w:val="0"/>
        </w:rPr>
        <w:t xml:space="preserve">Tables</w:t>
      </w:r>
    </w:p>
    <w:p w:rsidR="00000000" w:rsidDel="00000000" w:rsidP="00000000" w:rsidRDefault="00000000" w:rsidRPr="00000000" w14:paraId="000000C5">
      <w:pPr>
        <w:contextualSpacing w:val="0"/>
        <w:rPr/>
      </w:pPr>
      <w:r w:rsidDel="00000000" w:rsidR="00000000" w:rsidRPr="00000000">
        <w:rPr>
          <w:rtl w:val="0"/>
        </w:rPr>
      </w:r>
    </w:p>
    <w:p w:rsidR="00000000" w:rsidDel="00000000" w:rsidP="00000000" w:rsidRDefault="00000000" w:rsidRPr="00000000" w14:paraId="000000C6">
      <w:pPr>
        <w:contextualSpacing w:val="0"/>
        <w:rPr/>
      </w:pPr>
      <w:r w:rsidDel="00000000" w:rsidR="00000000" w:rsidRPr="00000000">
        <w:rPr>
          <w:rtl w:val="0"/>
        </w:rPr>
      </w:r>
    </w:p>
    <w:p w:rsidR="00000000" w:rsidDel="00000000" w:rsidP="00000000" w:rsidRDefault="00000000" w:rsidRPr="00000000" w14:paraId="000000C7">
      <w:pPr>
        <w:contextualSpacing w:val="0"/>
        <w:rPr/>
      </w:pPr>
      <w:r w:rsidDel="00000000" w:rsidR="00000000" w:rsidRPr="00000000">
        <w:rPr>
          <w:rtl w:val="0"/>
        </w:rPr>
      </w:r>
    </w:p>
    <w:tbl>
      <w:tblPr>
        <w:tblStyle w:val="Table1"/>
        <w:tblW w:w="3855.0" w:type="dxa"/>
        <w:jc w:val="left"/>
        <w:tblInd w:w="11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75"/>
        <w:gridCol w:w="570"/>
        <w:gridCol w:w="585"/>
        <w:gridCol w:w="1125"/>
        <w:tblGridChange w:id="0">
          <w:tblGrid>
            <w:gridCol w:w="1575"/>
            <w:gridCol w:w="570"/>
            <w:gridCol w:w="585"/>
            <w:gridCol w:w="1125"/>
          </w:tblGrid>
        </w:tblGridChange>
      </w:tblGrid>
      <w:tr>
        <w:trPr>
          <w:trHeight w:val="240" w:hRule="atLeast"/>
        </w:trPr>
        <w:tc>
          <w:tcPr/>
          <w:p w:rsidR="00000000" w:rsidDel="00000000" w:rsidP="00000000" w:rsidRDefault="00000000" w:rsidRPr="00000000" w14:paraId="000000C8">
            <w:pPr>
              <w:contextualSpacing w:val="0"/>
              <w:rPr/>
            </w:pPr>
            <w:r w:rsidDel="00000000" w:rsidR="00000000" w:rsidRPr="00000000">
              <w:rPr>
                <w:rtl w:val="0"/>
              </w:rPr>
            </w:r>
          </w:p>
        </w:tc>
        <w:tc>
          <w:tcPr/>
          <w:p w:rsidR="00000000" w:rsidDel="00000000" w:rsidP="00000000" w:rsidRDefault="00000000" w:rsidRPr="00000000" w14:paraId="000000C9">
            <w:pPr>
              <w:contextualSpacing w:val="0"/>
              <w:rPr/>
            </w:pPr>
            <w:r w:rsidDel="00000000" w:rsidR="00000000" w:rsidRPr="00000000">
              <w:rPr>
                <w:rtl w:val="0"/>
              </w:rPr>
              <w:t xml:space="preserve">L</w:t>
            </w:r>
          </w:p>
        </w:tc>
        <w:tc>
          <w:tcPr/>
          <w:p w:rsidR="00000000" w:rsidDel="00000000" w:rsidP="00000000" w:rsidRDefault="00000000" w:rsidRPr="00000000" w14:paraId="000000CA">
            <w:pPr>
              <w:contextualSpacing w:val="0"/>
              <w:rPr/>
            </w:pPr>
            <w:r w:rsidDel="00000000" w:rsidR="00000000" w:rsidRPr="00000000">
              <w:rPr>
                <w:rtl w:val="0"/>
              </w:rPr>
              <w:t xml:space="preserve">R</w:t>
            </w:r>
          </w:p>
        </w:tc>
        <w:tc>
          <w:tcPr/>
          <w:p w:rsidR="00000000" w:rsidDel="00000000" w:rsidP="00000000" w:rsidRDefault="00000000" w:rsidRPr="00000000" w14:paraId="000000CB">
            <w:pPr>
              <w:contextualSpacing w:val="0"/>
              <w:rPr/>
            </w:pPr>
            <w:r w:rsidDel="00000000" w:rsidR="00000000" w:rsidRPr="00000000">
              <w:rPr>
                <w:rtl w:val="0"/>
              </w:rPr>
              <w:t xml:space="preserve">Unsided</w:t>
            </w:r>
          </w:p>
        </w:tc>
      </w:tr>
      <w:tr>
        <w:trPr>
          <w:trHeight w:val="300" w:hRule="atLeast"/>
        </w:trPr>
        <w:tc>
          <w:tcPr>
            <w:tcBorders>
              <w:bottom w:color="000000" w:space="0" w:sz="8" w:val="single"/>
            </w:tcBorders>
          </w:tcPr>
          <w:p w:rsidR="00000000" w:rsidDel="00000000" w:rsidP="00000000" w:rsidRDefault="00000000" w:rsidRPr="00000000" w14:paraId="000000CC">
            <w:pPr>
              <w:contextualSpacing w:val="0"/>
              <w:rPr/>
            </w:pPr>
            <w:r w:rsidDel="00000000" w:rsidR="00000000" w:rsidRPr="00000000">
              <w:rPr>
                <w:rtl w:val="0"/>
              </w:rPr>
              <w:t xml:space="preserve">Ribs</w:t>
            </w:r>
          </w:p>
        </w:tc>
        <w:tc>
          <w:tcPr>
            <w:tcBorders>
              <w:bottom w:color="000000" w:space="0" w:sz="8" w:val="single"/>
            </w:tcBorders>
          </w:tcPr>
          <w:p w:rsidR="00000000" w:rsidDel="00000000" w:rsidP="00000000" w:rsidRDefault="00000000" w:rsidRPr="00000000" w14:paraId="000000CD">
            <w:pPr>
              <w:contextualSpacing w:val="0"/>
              <w:rPr/>
            </w:pPr>
            <w:r w:rsidDel="00000000" w:rsidR="00000000" w:rsidRPr="00000000">
              <w:rPr>
                <w:rtl w:val="0"/>
              </w:rPr>
              <w:t xml:space="preserve">1</w:t>
            </w:r>
          </w:p>
        </w:tc>
        <w:tc>
          <w:tcPr>
            <w:tcBorders>
              <w:bottom w:color="000000" w:space="0" w:sz="8" w:val="single"/>
            </w:tcBorders>
          </w:tcPr>
          <w:p w:rsidR="00000000" w:rsidDel="00000000" w:rsidP="00000000" w:rsidRDefault="00000000" w:rsidRPr="00000000" w14:paraId="000000CE">
            <w:pPr>
              <w:contextualSpacing w:val="0"/>
              <w:rPr/>
            </w:pPr>
            <w:r w:rsidDel="00000000" w:rsidR="00000000" w:rsidRPr="00000000">
              <w:rPr>
                <w:rtl w:val="0"/>
              </w:rPr>
              <w:t xml:space="preserve">5</w:t>
            </w:r>
          </w:p>
        </w:tc>
        <w:tc>
          <w:tcPr>
            <w:tcBorders>
              <w:bottom w:color="000000" w:space="0" w:sz="8" w:val="single"/>
            </w:tcBorders>
          </w:tcPr>
          <w:p w:rsidR="00000000" w:rsidDel="00000000" w:rsidP="00000000" w:rsidRDefault="00000000" w:rsidRPr="00000000" w14:paraId="000000CF">
            <w:pPr>
              <w:contextualSpacing w:val="0"/>
              <w:rPr/>
            </w:pPr>
            <w:r w:rsidDel="00000000" w:rsidR="00000000" w:rsidRPr="00000000">
              <w:rPr>
                <w:rtl w:val="0"/>
              </w:rPr>
              <w:t xml:space="preserve">9</w:t>
            </w:r>
          </w:p>
        </w:tc>
      </w:tr>
      <w:tr>
        <w:trPr>
          <w:trHeight w:val="300"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D0">
            <w:pPr>
              <w:contextualSpacing w:val="0"/>
              <w:rPr/>
            </w:pPr>
            <w:r w:rsidDel="00000000" w:rsidR="00000000" w:rsidRPr="00000000">
              <w:rPr>
                <w:rtl w:val="0"/>
              </w:rPr>
              <w:t xml:space="preserve">Vertebra</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D1">
            <w:pPr>
              <w:contextualSpacing w:val="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D2">
            <w:pPr>
              <w:contextualSpacing w:val="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D3">
            <w:pPr>
              <w:contextualSpacing w:val="0"/>
              <w:rPr/>
            </w:pPr>
            <w:r w:rsidDel="00000000" w:rsidR="00000000" w:rsidRPr="00000000">
              <w:rPr>
                <w:rtl w:val="0"/>
              </w:rPr>
              <w:t xml:space="preserve">8</w:t>
            </w:r>
          </w:p>
        </w:tc>
      </w:tr>
      <w:tr>
        <w:trPr>
          <w:trHeight w:val="260" w:hRule="atLeast"/>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D4">
            <w:pPr>
              <w:contextualSpacing w:val="0"/>
              <w:rPr/>
            </w:pPr>
            <w:r w:rsidDel="00000000" w:rsidR="00000000" w:rsidRPr="00000000">
              <w:rPr>
                <w:rtl w:val="0"/>
              </w:rPr>
              <w:t xml:space="preserve">Mandible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D5">
            <w:pPr>
              <w:contextualSpacing w:val="0"/>
              <w:rPr/>
            </w:pPr>
            <w:r w:rsidDel="00000000" w:rsidR="00000000" w:rsidRPr="00000000">
              <w:rPr>
                <w:rtl w:val="0"/>
              </w:rPr>
              <w:t xml:space="preserve">2</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D6">
            <w:pPr>
              <w:contextualSpacing w:val="0"/>
              <w:rPr/>
            </w:pPr>
            <w:r w:rsidDel="00000000" w:rsidR="00000000" w:rsidRPr="00000000">
              <w:rPr>
                <w:rtl w:val="0"/>
              </w:rPr>
              <w:t xml:space="preserve">2</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D7">
            <w:pPr>
              <w:contextualSpacing w:val="0"/>
              <w:rPr/>
            </w:pPr>
            <w:r w:rsidDel="00000000" w:rsidR="00000000" w:rsidRPr="00000000">
              <w:rPr>
                <w:rtl w:val="0"/>
              </w:rPr>
            </w:r>
          </w:p>
        </w:tc>
      </w:tr>
      <w:tr>
        <w:trPr>
          <w:trHeight w:val="240" w:hRule="atLeast"/>
        </w:trPr>
        <w:tc>
          <w:tcPr>
            <w:tcBorders>
              <w:top w:color="000000" w:space="0" w:sz="8" w:val="single"/>
            </w:tcBorders>
          </w:tcPr>
          <w:p w:rsidR="00000000" w:rsidDel="00000000" w:rsidP="00000000" w:rsidRDefault="00000000" w:rsidRPr="00000000" w14:paraId="000000D8">
            <w:pPr>
              <w:contextualSpacing w:val="0"/>
              <w:rPr/>
            </w:pPr>
            <w:r w:rsidDel="00000000" w:rsidR="00000000" w:rsidRPr="00000000">
              <w:rPr>
                <w:rtl w:val="0"/>
              </w:rPr>
              <w:t xml:space="preserve">Maxilla</w:t>
            </w:r>
          </w:p>
        </w:tc>
        <w:tc>
          <w:tcPr>
            <w:tcBorders>
              <w:top w:color="000000" w:space="0" w:sz="8" w:val="single"/>
            </w:tcBorders>
          </w:tcPr>
          <w:p w:rsidR="00000000" w:rsidDel="00000000" w:rsidP="00000000" w:rsidRDefault="00000000" w:rsidRPr="00000000" w14:paraId="000000D9">
            <w:pPr>
              <w:contextualSpacing w:val="0"/>
              <w:rPr/>
            </w:pPr>
            <w:r w:rsidDel="00000000" w:rsidR="00000000" w:rsidRPr="00000000">
              <w:rPr>
                <w:rtl w:val="0"/>
              </w:rPr>
            </w:r>
          </w:p>
        </w:tc>
        <w:tc>
          <w:tcPr>
            <w:tcBorders>
              <w:top w:color="000000" w:space="0" w:sz="8" w:val="single"/>
            </w:tcBorders>
          </w:tcPr>
          <w:p w:rsidR="00000000" w:rsidDel="00000000" w:rsidP="00000000" w:rsidRDefault="00000000" w:rsidRPr="00000000" w14:paraId="000000DA">
            <w:pPr>
              <w:contextualSpacing w:val="0"/>
              <w:rPr/>
            </w:pPr>
            <w:r w:rsidDel="00000000" w:rsidR="00000000" w:rsidRPr="00000000">
              <w:rPr>
                <w:rtl w:val="0"/>
              </w:rPr>
              <w:t xml:space="preserve">1</w:t>
            </w:r>
          </w:p>
        </w:tc>
        <w:tc>
          <w:tcPr>
            <w:tcBorders>
              <w:top w:color="000000" w:space="0" w:sz="8" w:val="single"/>
            </w:tcBorders>
          </w:tcPr>
          <w:p w:rsidR="00000000" w:rsidDel="00000000" w:rsidP="00000000" w:rsidRDefault="00000000" w:rsidRPr="00000000" w14:paraId="000000DB">
            <w:pPr>
              <w:contextualSpacing w:val="0"/>
              <w:rPr/>
            </w:pPr>
            <w:r w:rsidDel="00000000" w:rsidR="00000000" w:rsidRPr="00000000">
              <w:rPr>
                <w:rtl w:val="0"/>
              </w:rPr>
            </w:r>
          </w:p>
        </w:tc>
      </w:tr>
      <w:tr>
        <w:trPr>
          <w:trHeight w:val="240" w:hRule="atLeast"/>
        </w:trPr>
        <w:tc>
          <w:tcPr/>
          <w:p w:rsidR="00000000" w:rsidDel="00000000" w:rsidP="00000000" w:rsidRDefault="00000000" w:rsidRPr="00000000" w14:paraId="000000DC">
            <w:pPr>
              <w:contextualSpacing w:val="0"/>
              <w:rPr/>
            </w:pPr>
            <w:r w:rsidDel="00000000" w:rsidR="00000000" w:rsidRPr="00000000">
              <w:rPr>
                <w:rtl w:val="0"/>
              </w:rPr>
              <w:t xml:space="preserve">Sternum</w:t>
            </w:r>
          </w:p>
        </w:tc>
        <w:tc>
          <w:tcPr/>
          <w:p w:rsidR="00000000" w:rsidDel="00000000" w:rsidP="00000000" w:rsidRDefault="00000000" w:rsidRPr="00000000" w14:paraId="000000DD">
            <w:pPr>
              <w:contextualSpacing w:val="0"/>
              <w:rPr/>
            </w:pPr>
            <w:r w:rsidDel="00000000" w:rsidR="00000000" w:rsidRPr="00000000">
              <w:rPr>
                <w:rtl w:val="0"/>
              </w:rPr>
            </w:r>
          </w:p>
        </w:tc>
        <w:tc>
          <w:tcPr/>
          <w:p w:rsidR="00000000" w:rsidDel="00000000" w:rsidP="00000000" w:rsidRDefault="00000000" w:rsidRPr="00000000" w14:paraId="000000DE">
            <w:pPr>
              <w:contextualSpacing w:val="0"/>
              <w:rPr/>
            </w:pPr>
            <w:r w:rsidDel="00000000" w:rsidR="00000000" w:rsidRPr="00000000">
              <w:rPr>
                <w:rtl w:val="0"/>
              </w:rPr>
            </w:r>
          </w:p>
        </w:tc>
        <w:tc>
          <w:tcPr/>
          <w:p w:rsidR="00000000" w:rsidDel="00000000" w:rsidP="00000000" w:rsidRDefault="00000000" w:rsidRPr="00000000" w14:paraId="000000DF">
            <w:pPr>
              <w:contextualSpacing w:val="0"/>
              <w:rPr/>
            </w:pPr>
            <w:r w:rsidDel="00000000" w:rsidR="00000000" w:rsidRPr="00000000">
              <w:rPr>
                <w:rtl w:val="0"/>
              </w:rPr>
              <w:t xml:space="preserve">1</w:t>
            </w:r>
          </w:p>
        </w:tc>
      </w:tr>
      <w:tr>
        <w:trPr>
          <w:trHeight w:val="240" w:hRule="atLeast"/>
        </w:trPr>
        <w:tc>
          <w:tcPr/>
          <w:p w:rsidR="00000000" w:rsidDel="00000000" w:rsidP="00000000" w:rsidRDefault="00000000" w:rsidRPr="00000000" w14:paraId="000000E0">
            <w:pPr>
              <w:contextualSpacing w:val="0"/>
              <w:rPr/>
            </w:pPr>
            <w:r w:rsidDel="00000000" w:rsidR="00000000" w:rsidRPr="00000000">
              <w:rPr>
                <w:rtl w:val="0"/>
              </w:rPr>
              <w:t xml:space="preserve">Scapula</w:t>
            </w:r>
          </w:p>
        </w:tc>
        <w:tc>
          <w:tcPr/>
          <w:p w:rsidR="00000000" w:rsidDel="00000000" w:rsidP="00000000" w:rsidRDefault="00000000" w:rsidRPr="00000000" w14:paraId="000000E1">
            <w:pPr>
              <w:contextualSpacing w:val="0"/>
              <w:rPr/>
            </w:pPr>
            <w:r w:rsidDel="00000000" w:rsidR="00000000" w:rsidRPr="00000000">
              <w:rPr>
                <w:rtl w:val="0"/>
              </w:rPr>
              <w:t xml:space="preserve">2</w:t>
            </w:r>
          </w:p>
        </w:tc>
        <w:tc>
          <w:tcPr/>
          <w:p w:rsidR="00000000" w:rsidDel="00000000" w:rsidP="00000000" w:rsidRDefault="00000000" w:rsidRPr="00000000" w14:paraId="000000E2">
            <w:pPr>
              <w:contextualSpacing w:val="0"/>
              <w:rPr/>
            </w:pPr>
            <w:r w:rsidDel="00000000" w:rsidR="00000000" w:rsidRPr="00000000">
              <w:rPr>
                <w:rtl w:val="0"/>
              </w:rPr>
            </w:r>
          </w:p>
        </w:tc>
        <w:tc>
          <w:tcPr/>
          <w:p w:rsidR="00000000" w:rsidDel="00000000" w:rsidP="00000000" w:rsidRDefault="00000000" w:rsidRPr="00000000" w14:paraId="000000E3">
            <w:pPr>
              <w:contextualSpacing w:val="0"/>
              <w:rPr/>
            </w:pPr>
            <w:r w:rsidDel="00000000" w:rsidR="00000000" w:rsidRPr="00000000">
              <w:rPr>
                <w:rtl w:val="0"/>
              </w:rPr>
              <w:t xml:space="preserve">1</w:t>
            </w:r>
          </w:p>
        </w:tc>
      </w:tr>
      <w:tr>
        <w:trPr>
          <w:trHeight w:val="240" w:hRule="atLeast"/>
        </w:trPr>
        <w:tc>
          <w:tcPr/>
          <w:p w:rsidR="00000000" w:rsidDel="00000000" w:rsidP="00000000" w:rsidRDefault="00000000" w:rsidRPr="00000000" w14:paraId="000000E4">
            <w:pPr>
              <w:contextualSpacing w:val="0"/>
              <w:rPr/>
            </w:pPr>
            <w:r w:rsidDel="00000000" w:rsidR="00000000" w:rsidRPr="00000000">
              <w:rPr>
                <w:rtl w:val="0"/>
              </w:rPr>
              <w:t xml:space="preserve">Radius</w:t>
            </w:r>
          </w:p>
        </w:tc>
        <w:tc>
          <w:tcPr/>
          <w:p w:rsidR="00000000" w:rsidDel="00000000" w:rsidP="00000000" w:rsidRDefault="00000000" w:rsidRPr="00000000" w14:paraId="000000E5">
            <w:pPr>
              <w:contextualSpacing w:val="0"/>
              <w:rPr/>
            </w:pPr>
            <w:r w:rsidDel="00000000" w:rsidR="00000000" w:rsidRPr="00000000">
              <w:rPr>
                <w:rtl w:val="0"/>
              </w:rPr>
            </w:r>
          </w:p>
        </w:tc>
        <w:tc>
          <w:tcPr/>
          <w:p w:rsidR="00000000" w:rsidDel="00000000" w:rsidP="00000000" w:rsidRDefault="00000000" w:rsidRPr="00000000" w14:paraId="000000E6">
            <w:pPr>
              <w:contextualSpacing w:val="0"/>
              <w:rPr/>
            </w:pPr>
            <w:r w:rsidDel="00000000" w:rsidR="00000000" w:rsidRPr="00000000">
              <w:rPr>
                <w:rtl w:val="0"/>
              </w:rPr>
              <w:t xml:space="preserve">1</w:t>
            </w:r>
          </w:p>
        </w:tc>
        <w:tc>
          <w:tcPr/>
          <w:p w:rsidR="00000000" w:rsidDel="00000000" w:rsidP="00000000" w:rsidRDefault="00000000" w:rsidRPr="00000000" w14:paraId="000000E7">
            <w:pPr>
              <w:contextualSpacing w:val="0"/>
              <w:rPr/>
            </w:pPr>
            <w:r w:rsidDel="00000000" w:rsidR="00000000" w:rsidRPr="00000000">
              <w:rPr>
                <w:rtl w:val="0"/>
              </w:rPr>
            </w:r>
          </w:p>
        </w:tc>
      </w:tr>
      <w:tr>
        <w:trPr>
          <w:trHeight w:val="240" w:hRule="atLeast"/>
        </w:trPr>
        <w:tc>
          <w:tcPr/>
          <w:p w:rsidR="00000000" w:rsidDel="00000000" w:rsidP="00000000" w:rsidRDefault="00000000" w:rsidRPr="00000000" w14:paraId="000000E8">
            <w:pPr>
              <w:contextualSpacing w:val="0"/>
              <w:rPr/>
            </w:pPr>
            <w:r w:rsidDel="00000000" w:rsidR="00000000" w:rsidRPr="00000000">
              <w:rPr>
                <w:rtl w:val="0"/>
              </w:rPr>
              <w:t xml:space="preserve">Ulna</w:t>
            </w:r>
          </w:p>
        </w:tc>
        <w:tc>
          <w:tcPr/>
          <w:p w:rsidR="00000000" w:rsidDel="00000000" w:rsidP="00000000" w:rsidRDefault="00000000" w:rsidRPr="00000000" w14:paraId="000000E9">
            <w:pPr>
              <w:contextualSpacing w:val="0"/>
              <w:rPr/>
            </w:pPr>
            <w:r w:rsidDel="00000000" w:rsidR="00000000" w:rsidRPr="00000000">
              <w:rPr>
                <w:rtl w:val="0"/>
              </w:rPr>
            </w:r>
          </w:p>
        </w:tc>
        <w:tc>
          <w:tcPr/>
          <w:p w:rsidR="00000000" w:rsidDel="00000000" w:rsidP="00000000" w:rsidRDefault="00000000" w:rsidRPr="00000000" w14:paraId="000000EA">
            <w:pPr>
              <w:contextualSpacing w:val="0"/>
              <w:rPr/>
            </w:pPr>
            <w:r w:rsidDel="00000000" w:rsidR="00000000" w:rsidRPr="00000000">
              <w:rPr>
                <w:rtl w:val="0"/>
              </w:rPr>
              <w:t xml:space="preserve">1</w:t>
            </w:r>
          </w:p>
        </w:tc>
        <w:tc>
          <w:tcPr/>
          <w:p w:rsidR="00000000" w:rsidDel="00000000" w:rsidP="00000000" w:rsidRDefault="00000000" w:rsidRPr="00000000" w14:paraId="000000EB">
            <w:pPr>
              <w:contextualSpacing w:val="0"/>
              <w:rPr/>
            </w:pPr>
            <w:r w:rsidDel="00000000" w:rsidR="00000000" w:rsidRPr="00000000">
              <w:rPr>
                <w:rtl w:val="0"/>
              </w:rPr>
              <w:t xml:space="preserve">1</w:t>
            </w:r>
          </w:p>
        </w:tc>
      </w:tr>
      <w:tr>
        <w:trPr>
          <w:trHeight w:val="320" w:hRule="atLeast"/>
        </w:trPr>
        <w:tc>
          <w:tcPr/>
          <w:p w:rsidR="00000000" w:rsidDel="00000000" w:rsidP="00000000" w:rsidRDefault="00000000" w:rsidRPr="00000000" w14:paraId="000000EC">
            <w:pPr>
              <w:contextualSpacing w:val="0"/>
              <w:rPr/>
            </w:pPr>
            <w:r w:rsidDel="00000000" w:rsidR="00000000" w:rsidRPr="00000000">
              <w:rPr>
                <w:rtl w:val="0"/>
              </w:rPr>
              <w:t xml:space="preserve">Tibia</w:t>
            </w:r>
          </w:p>
        </w:tc>
        <w:tc>
          <w:tcPr/>
          <w:p w:rsidR="00000000" w:rsidDel="00000000" w:rsidP="00000000" w:rsidRDefault="00000000" w:rsidRPr="00000000" w14:paraId="000000ED">
            <w:pPr>
              <w:contextualSpacing w:val="0"/>
              <w:rPr/>
            </w:pPr>
            <w:r w:rsidDel="00000000" w:rsidR="00000000" w:rsidRPr="00000000">
              <w:rPr>
                <w:rtl w:val="0"/>
              </w:rPr>
            </w:r>
          </w:p>
        </w:tc>
        <w:tc>
          <w:tcPr/>
          <w:p w:rsidR="00000000" w:rsidDel="00000000" w:rsidP="00000000" w:rsidRDefault="00000000" w:rsidRPr="00000000" w14:paraId="000000EE">
            <w:pPr>
              <w:contextualSpacing w:val="0"/>
              <w:rPr/>
            </w:pPr>
            <w:r w:rsidDel="00000000" w:rsidR="00000000" w:rsidRPr="00000000">
              <w:rPr>
                <w:rtl w:val="0"/>
              </w:rPr>
              <w:t xml:space="preserve">1</w:t>
            </w:r>
          </w:p>
        </w:tc>
        <w:tc>
          <w:tcPr/>
          <w:p w:rsidR="00000000" w:rsidDel="00000000" w:rsidP="00000000" w:rsidRDefault="00000000" w:rsidRPr="00000000" w14:paraId="000000EF">
            <w:pPr>
              <w:contextualSpacing w:val="0"/>
              <w:rPr/>
            </w:pPr>
            <w:r w:rsidDel="00000000" w:rsidR="00000000" w:rsidRPr="00000000">
              <w:rPr>
                <w:rtl w:val="0"/>
              </w:rPr>
            </w:r>
          </w:p>
        </w:tc>
      </w:tr>
      <w:tr>
        <w:trPr>
          <w:trHeight w:val="240" w:hRule="atLeast"/>
        </w:trPr>
        <w:tc>
          <w:tcPr/>
          <w:p w:rsidR="00000000" w:rsidDel="00000000" w:rsidP="00000000" w:rsidRDefault="00000000" w:rsidRPr="00000000" w14:paraId="000000F0">
            <w:pPr>
              <w:contextualSpacing w:val="0"/>
              <w:rPr/>
            </w:pPr>
            <w:r w:rsidDel="00000000" w:rsidR="00000000" w:rsidRPr="00000000">
              <w:rPr>
                <w:rtl w:val="0"/>
              </w:rPr>
              <w:t xml:space="preserve">Pelvis</w:t>
            </w:r>
          </w:p>
        </w:tc>
        <w:tc>
          <w:tcPr/>
          <w:p w:rsidR="00000000" w:rsidDel="00000000" w:rsidP="00000000" w:rsidRDefault="00000000" w:rsidRPr="00000000" w14:paraId="000000F1">
            <w:pPr>
              <w:contextualSpacing w:val="0"/>
              <w:rPr/>
            </w:pPr>
            <w:r w:rsidDel="00000000" w:rsidR="00000000" w:rsidRPr="00000000">
              <w:rPr>
                <w:rtl w:val="0"/>
              </w:rPr>
            </w:r>
          </w:p>
        </w:tc>
        <w:tc>
          <w:tcPr/>
          <w:p w:rsidR="00000000" w:rsidDel="00000000" w:rsidP="00000000" w:rsidRDefault="00000000" w:rsidRPr="00000000" w14:paraId="000000F2">
            <w:pPr>
              <w:contextualSpacing w:val="0"/>
              <w:rPr/>
            </w:pPr>
            <w:r w:rsidDel="00000000" w:rsidR="00000000" w:rsidRPr="00000000">
              <w:rPr>
                <w:rtl w:val="0"/>
              </w:rPr>
              <w:t xml:space="preserve">1</w:t>
            </w:r>
          </w:p>
        </w:tc>
        <w:tc>
          <w:tcPr/>
          <w:p w:rsidR="00000000" w:rsidDel="00000000" w:rsidP="00000000" w:rsidRDefault="00000000" w:rsidRPr="00000000" w14:paraId="000000F3">
            <w:pPr>
              <w:contextualSpacing w:val="0"/>
              <w:rPr/>
            </w:pPr>
            <w:r w:rsidDel="00000000" w:rsidR="00000000" w:rsidRPr="00000000">
              <w:rPr>
                <w:rtl w:val="0"/>
              </w:rPr>
            </w:r>
          </w:p>
        </w:tc>
      </w:tr>
      <w:tr>
        <w:trPr>
          <w:trHeight w:val="240" w:hRule="atLeast"/>
        </w:trPr>
        <w:tc>
          <w:tcPr/>
          <w:p w:rsidR="00000000" w:rsidDel="00000000" w:rsidP="00000000" w:rsidRDefault="00000000" w:rsidRPr="00000000" w14:paraId="000000F4">
            <w:pPr>
              <w:contextualSpacing w:val="0"/>
              <w:rPr/>
            </w:pPr>
            <w:r w:rsidDel="00000000" w:rsidR="00000000" w:rsidRPr="00000000">
              <w:rPr>
                <w:rtl w:val="0"/>
              </w:rPr>
              <w:t xml:space="preserve">Sacrum</w:t>
            </w:r>
          </w:p>
        </w:tc>
        <w:tc>
          <w:tcPr/>
          <w:p w:rsidR="00000000" w:rsidDel="00000000" w:rsidP="00000000" w:rsidRDefault="00000000" w:rsidRPr="00000000" w14:paraId="000000F5">
            <w:pPr>
              <w:contextualSpacing w:val="0"/>
              <w:rPr/>
            </w:pPr>
            <w:r w:rsidDel="00000000" w:rsidR="00000000" w:rsidRPr="00000000">
              <w:rPr>
                <w:rtl w:val="0"/>
              </w:rPr>
            </w:r>
          </w:p>
        </w:tc>
        <w:tc>
          <w:tcPr/>
          <w:p w:rsidR="00000000" w:rsidDel="00000000" w:rsidP="00000000" w:rsidRDefault="00000000" w:rsidRPr="00000000" w14:paraId="000000F6">
            <w:pPr>
              <w:contextualSpacing w:val="0"/>
              <w:rPr/>
            </w:pPr>
            <w:r w:rsidDel="00000000" w:rsidR="00000000" w:rsidRPr="00000000">
              <w:rPr>
                <w:rtl w:val="0"/>
              </w:rPr>
            </w:r>
          </w:p>
        </w:tc>
        <w:tc>
          <w:tcPr/>
          <w:p w:rsidR="00000000" w:rsidDel="00000000" w:rsidP="00000000" w:rsidRDefault="00000000" w:rsidRPr="00000000" w14:paraId="000000F7">
            <w:pPr>
              <w:contextualSpacing w:val="0"/>
              <w:rPr/>
            </w:pPr>
            <w:r w:rsidDel="00000000" w:rsidR="00000000" w:rsidRPr="00000000">
              <w:rPr>
                <w:rtl w:val="0"/>
              </w:rPr>
              <w:t xml:space="preserve">1</w:t>
            </w:r>
          </w:p>
        </w:tc>
      </w:tr>
      <w:tr>
        <w:trPr>
          <w:trHeight w:val="300" w:hRule="atLeast"/>
        </w:trPr>
        <w:tc>
          <w:tcPr/>
          <w:p w:rsidR="00000000" w:rsidDel="00000000" w:rsidP="00000000" w:rsidRDefault="00000000" w:rsidRPr="00000000" w14:paraId="000000F8">
            <w:pPr>
              <w:contextualSpacing w:val="0"/>
              <w:rPr/>
            </w:pPr>
            <w:r w:rsidDel="00000000" w:rsidR="00000000" w:rsidRPr="00000000">
              <w:rPr>
                <w:rtl w:val="0"/>
              </w:rPr>
              <w:t xml:space="preserve">Calcaneus</w:t>
            </w:r>
          </w:p>
        </w:tc>
        <w:tc>
          <w:tcPr/>
          <w:p w:rsidR="00000000" w:rsidDel="00000000" w:rsidP="00000000" w:rsidRDefault="00000000" w:rsidRPr="00000000" w14:paraId="000000F9">
            <w:pPr>
              <w:contextualSpacing w:val="0"/>
              <w:rPr/>
            </w:pPr>
            <w:r w:rsidDel="00000000" w:rsidR="00000000" w:rsidRPr="00000000">
              <w:rPr>
                <w:rtl w:val="0"/>
              </w:rPr>
            </w:r>
          </w:p>
        </w:tc>
        <w:tc>
          <w:tcPr/>
          <w:p w:rsidR="00000000" w:rsidDel="00000000" w:rsidP="00000000" w:rsidRDefault="00000000" w:rsidRPr="00000000" w14:paraId="000000FA">
            <w:pPr>
              <w:contextualSpacing w:val="0"/>
              <w:rPr/>
            </w:pPr>
            <w:r w:rsidDel="00000000" w:rsidR="00000000" w:rsidRPr="00000000">
              <w:rPr>
                <w:rtl w:val="0"/>
              </w:rPr>
              <w:t xml:space="preserve">1</w:t>
            </w:r>
          </w:p>
        </w:tc>
        <w:tc>
          <w:tcPr/>
          <w:p w:rsidR="00000000" w:rsidDel="00000000" w:rsidP="00000000" w:rsidRDefault="00000000" w:rsidRPr="00000000" w14:paraId="000000FB">
            <w:pPr>
              <w:contextualSpacing w:val="0"/>
              <w:rPr/>
            </w:pPr>
            <w:r w:rsidDel="00000000" w:rsidR="00000000" w:rsidRPr="00000000">
              <w:rPr>
                <w:rtl w:val="0"/>
              </w:rPr>
            </w:r>
          </w:p>
        </w:tc>
      </w:tr>
      <w:tr>
        <w:trPr>
          <w:trHeight w:val="240" w:hRule="atLeast"/>
        </w:trPr>
        <w:tc>
          <w:tcPr/>
          <w:p w:rsidR="00000000" w:rsidDel="00000000" w:rsidP="00000000" w:rsidRDefault="00000000" w:rsidRPr="00000000" w14:paraId="000000FC">
            <w:pPr>
              <w:contextualSpacing w:val="0"/>
              <w:rPr/>
            </w:pPr>
            <w:r w:rsidDel="00000000" w:rsidR="00000000" w:rsidRPr="00000000">
              <w:rPr>
                <w:rtl w:val="0"/>
              </w:rPr>
              <w:t xml:space="preserve">3rd phalanx</w:t>
            </w:r>
          </w:p>
        </w:tc>
        <w:tc>
          <w:tcPr/>
          <w:p w:rsidR="00000000" w:rsidDel="00000000" w:rsidP="00000000" w:rsidRDefault="00000000" w:rsidRPr="00000000" w14:paraId="000000FD">
            <w:pPr>
              <w:contextualSpacing w:val="0"/>
              <w:rPr/>
            </w:pPr>
            <w:r w:rsidDel="00000000" w:rsidR="00000000" w:rsidRPr="00000000">
              <w:rPr>
                <w:rtl w:val="0"/>
              </w:rPr>
            </w:r>
          </w:p>
        </w:tc>
        <w:tc>
          <w:tcPr/>
          <w:p w:rsidR="00000000" w:rsidDel="00000000" w:rsidP="00000000" w:rsidRDefault="00000000" w:rsidRPr="00000000" w14:paraId="000000FE">
            <w:pPr>
              <w:contextualSpacing w:val="0"/>
              <w:rPr/>
            </w:pPr>
            <w:r w:rsidDel="00000000" w:rsidR="00000000" w:rsidRPr="00000000">
              <w:rPr>
                <w:rtl w:val="0"/>
              </w:rPr>
            </w:r>
          </w:p>
        </w:tc>
        <w:tc>
          <w:tcPr/>
          <w:p w:rsidR="00000000" w:rsidDel="00000000" w:rsidP="00000000" w:rsidRDefault="00000000" w:rsidRPr="00000000" w14:paraId="000000FF">
            <w:pPr>
              <w:contextualSpacing w:val="0"/>
              <w:rPr/>
            </w:pPr>
            <w:r w:rsidDel="00000000" w:rsidR="00000000" w:rsidRPr="00000000">
              <w:rPr>
                <w:rtl w:val="0"/>
              </w:rPr>
              <w:t xml:space="preserve">1</w:t>
            </w:r>
          </w:p>
        </w:tc>
      </w:tr>
      <w:tr>
        <w:trPr>
          <w:trHeight w:val="240" w:hRule="atLeast"/>
        </w:trPr>
        <w:tc>
          <w:tcPr/>
          <w:p w:rsidR="00000000" w:rsidDel="00000000" w:rsidP="00000000" w:rsidRDefault="00000000" w:rsidRPr="00000000" w14:paraId="00000100">
            <w:pPr>
              <w:contextualSpacing w:val="0"/>
              <w:rPr/>
            </w:pPr>
            <w:r w:rsidDel="00000000" w:rsidR="00000000" w:rsidRPr="00000000">
              <w:rPr>
                <w:rtl w:val="0"/>
              </w:rPr>
              <w:t xml:space="preserve">Unidentified</w:t>
            </w:r>
          </w:p>
        </w:tc>
        <w:tc>
          <w:tcPr/>
          <w:p w:rsidR="00000000" w:rsidDel="00000000" w:rsidP="00000000" w:rsidRDefault="00000000" w:rsidRPr="00000000" w14:paraId="00000101">
            <w:pPr>
              <w:contextualSpacing w:val="0"/>
              <w:rPr/>
            </w:pPr>
            <w:r w:rsidDel="00000000" w:rsidR="00000000" w:rsidRPr="00000000">
              <w:rPr>
                <w:rtl w:val="0"/>
              </w:rPr>
            </w:r>
          </w:p>
        </w:tc>
        <w:tc>
          <w:tcPr/>
          <w:p w:rsidR="00000000" w:rsidDel="00000000" w:rsidP="00000000" w:rsidRDefault="00000000" w:rsidRPr="00000000" w14:paraId="00000102">
            <w:pPr>
              <w:contextualSpacing w:val="0"/>
              <w:rPr/>
            </w:pPr>
            <w:r w:rsidDel="00000000" w:rsidR="00000000" w:rsidRPr="00000000">
              <w:rPr>
                <w:rtl w:val="0"/>
              </w:rPr>
            </w:r>
          </w:p>
        </w:tc>
        <w:tc>
          <w:tcPr/>
          <w:p w:rsidR="00000000" w:rsidDel="00000000" w:rsidP="00000000" w:rsidRDefault="00000000" w:rsidRPr="00000000" w14:paraId="00000103">
            <w:pPr>
              <w:contextualSpacing w:val="0"/>
              <w:rPr/>
            </w:pPr>
            <w:r w:rsidDel="00000000" w:rsidR="00000000" w:rsidRPr="00000000">
              <w:rPr>
                <w:rtl w:val="0"/>
              </w:rPr>
              <w:t xml:space="preserve">2</w:t>
            </w:r>
          </w:p>
        </w:tc>
      </w:tr>
    </w:tbl>
    <w:p w:rsidR="00000000" w:rsidDel="00000000" w:rsidP="00000000" w:rsidRDefault="00000000" w:rsidRPr="00000000" w14:paraId="00000104">
      <w:pPr>
        <w:contextualSpacing w:val="0"/>
        <w:rPr/>
      </w:pPr>
      <w:r w:rsidDel="00000000" w:rsidR="00000000" w:rsidRPr="00000000">
        <w:rPr>
          <w:rtl w:val="0"/>
        </w:rPr>
      </w:r>
    </w:p>
    <w:p w:rsidR="00000000" w:rsidDel="00000000" w:rsidP="00000000" w:rsidRDefault="00000000" w:rsidRPr="00000000" w14:paraId="00000105">
      <w:pPr>
        <w:contextualSpacing w:val="0"/>
        <w:rPr/>
      </w:pPr>
      <w:r w:rsidDel="00000000" w:rsidR="00000000" w:rsidRPr="00000000">
        <w:rPr>
          <w:rtl w:val="0"/>
        </w:rPr>
        <w:t xml:space="preserve">Table 1: A table illustrating the NISP (Number of Individual Specimens) for each element of red deer found at Skipsea Withow.</w:t>
      </w:r>
    </w:p>
    <w:p w:rsidR="00000000" w:rsidDel="00000000" w:rsidP="00000000" w:rsidRDefault="00000000" w:rsidRPr="00000000" w14:paraId="00000106">
      <w:pPr>
        <w:contextualSpacing w:val="0"/>
        <w:rPr/>
      </w:pPr>
      <w:r w:rsidDel="00000000" w:rsidR="00000000" w:rsidRPr="00000000">
        <w:rPr>
          <w:rtl w:val="0"/>
        </w:rPr>
      </w:r>
    </w:p>
    <w:p w:rsidR="00000000" w:rsidDel="00000000" w:rsidP="00000000" w:rsidRDefault="00000000" w:rsidRPr="00000000" w14:paraId="00000107">
      <w:pPr>
        <w:contextualSpacing w:val="0"/>
        <w:rPr/>
      </w:pPr>
      <w:r w:rsidDel="00000000" w:rsidR="00000000" w:rsidRPr="00000000">
        <w:rPr>
          <w:rtl w:val="0"/>
        </w:rPr>
      </w:r>
    </w:p>
    <w:p w:rsidR="00000000" w:rsidDel="00000000" w:rsidP="00000000" w:rsidRDefault="00000000" w:rsidRPr="00000000" w14:paraId="00000108">
      <w:pPr>
        <w:contextualSpacing w:val="0"/>
        <w:rPr/>
      </w:pPr>
      <w:r w:rsidDel="00000000" w:rsidR="00000000" w:rsidRPr="00000000">
        <w:rPr>
          <w:rtl w:val="0"/>
        </w:rPr>
      </w:r>
    </w:p>
    <w:tbl>
      <w:tblPr>
        <w:tblStyle w:val="Table2"/>
        <w:tblW w:w="924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43"/>
        <w:gridCol w:w="1856"/>
        <w:gridCol w:w="1855"/>
        <w:gridCol w:w="1880"/>
        <w:gridCol w:w="2008"/>
        <w:tblGridChange w:id="0">
          <w:tblGrid>
            <w:gridCol w:w="1643"/>
            <w:gridCol w:w="1856"/>
            <w:gridCol w:w="1855"/>
            <w:gridCol w:w="1880"/>
            <w:gridCol w:w="2008"/>
          </w:tblGrid>
        </w:tblGridChange>
      </w:tblGrid>
      <w:tr>
        <w:tc>
          <w:tcPr/>
          <w:p w:rsidR="00000000" w:rsidDel="00000000" w:rsidP="00000000" w:rsidRDefault="00000000" w:rsidRPr="00000000" w14:paraId="00000109">
            <w:pPr>
              <w:contextualSpacing w:val="0"/>
              <w:rPr/>
            </w:pPr>
            <w:r w:rsidDel="00000000" w:rsidR="00000000" w:rsidRPr="00000000">
              <w:rPr>
                <w:b w:val="1"/>
                <w:rtl w:val="0"/>
              </w:rPr>
              <w:t xml:space="preserve">Site</w:t>
            </w:r>
            <w:r w:rsidDel="00000000" w:rsidR="00000000" w:rsidRPr="00000000">
              <w:rPr>
                <w:rtl w:val="0"/>
              </w:rPr>
            </w:r>
          </w:p>
        </w:tc>
        <w:tc>
          <w:tcPr/>
          <w:p w:rsidR="00000000" w:rsidDel="00000000" w:rsidP="00000000" w:rsidRDefault="00000000" w:rsidRPr="00000000" w14:paraId="0000010A">
            <w:pPr>
              <w:contextualSpacing w:val="0"/>
              <w:rPr/>
            </w:pPr>
            <w:r w:rsidDel="00000000" w:rsidR="00000000" w:rsidRPr="00000000">
              <w:rPr>
                <w:b w:val="1"/>
                <w:rtl w:val="0"/>
              </w:rPr>
              <w:t xml:space="preserve">Finds No.</w:t>
            </w:r>
            <w:r w:rsidDel="00000000" w:rsidR="00000000" w:rsidRPr="00000000">
              <w:rPr>
                <w:rtl w:val="0"/>
              </w:rPr>
            </w:r>
          </w:p>
        </w:tc>
        <w:tc>
          <w:tcPr/>
          <w:p w:rsidR="00000000" w:rsidDel="00000000" w:rsidP="00000000" w:rsidRDefault="00000000" w:rsidRPr="00000000" w14:paraId="0000010B">
            <w:pPr>
              <w:contextualSpacing w:val="0"/>
              <w:rPr/>
            </w:pPr>
            <w:r w:rsidDel="00000000" w:rsidR="00000000" w:rsidRPr="00000000">
              <w:rPr>
                <w:b w:val="1"/>
                <w:rtl w:val="0"/>
              </w:rPr>
              <w:t xml:space="preserve">Species</w:t>
            </w:r>
            <w:r w:rsidDel="00000000" w:rsidR="00000000" w:rsidRPr="00000000">
              <w:rPr>
                <w:rtl w:val="0"/>
              </w:rPr>
            </w:r>
          </w:p>
        </w:tc>
        <w:tc>
          <w:tcPr/>
          <w:p w:rsidR="00000000" w:rsidDel="00000000" w:rsidP="00000000" w:rsidRDefault="00000000" w:rsidRPr="00000000" w14:paraId="0000010C">
            <w:pPr>
              <w:contextualSpacing w:val="0"/>
              <w:rPr/>
            </w:pPr>
            <w:r w:rsidDel="00000000" w:rsidR="00000000" w:rsidRPr="00000000">
              <w:rPr>
                <w:b w:val="1"/>
                <w:rtl w:val="0"/>
              </w:rPr>
              <w:t xml:space="preserve">Element</w:t>
            </w:r>
            <w:r w:rsidDel="00000000" w:rsidR="00000000" w:rsidRPr="00000000">
              <w:rPr>
                <w:rtl w:val="0"/>
              </w:rPr>
            </w:r>
          </w:p>
        </w:tc>
        <w:tc>
          <w:tcPr/>
          <w:p w:rsidR="00000000" w:rsidDel="00000000" w:rsidP="00000000" w:rsidRDefault="00000000" w:rsidRPr="00000000" w14:paraId="0000010D">
            <w:pPr>
              <w:contextualSpacing w:val="0"/>
              <w:rPr/>
            </w:pPr>
            <w:r w:rsidDel="00000000" w:rsidR="00000000" w:rsidRPr="00000000">
              <w:rPr>
                <w:b w:val="1"/>
                <w:rtl w:val="0"/>
              </w:rPr>
              <w:t xml:space="preserve">Metrics</w:t>
            </w:r>
            <w:r w:rsidDel="00000000" w:rsidR="00000000" w:rsidRPr="00000000">
              <w:rPr>
                <w:rtl w:val="0"/>
              </w:rPr>
            </w:r>
          </w:p>
        </w:tc>
      </w:tr>
      <w:tr>
        <w:tc>
          <w:tcPr>
            <w:vAlign w:val="center"/>
          </w:tcPr>
          <w:p w:rsidR="00000000" w:rsidDel="00000000" w:rsidP="00000000" w:rsidRDefault="00000000" w:rsidRPr="00000000" w14:paraId="0000010E">
            <w:pPr>
              <w:contextualSpacing w:val="0"/>
              <w:rPr/>
            </w:pPr>
            <w:r w:rsidDel="00000000" w:rsidR="00000000" w:rsidRPr="00000000">
              <w:rPr>
                <w:b w:val="1"/>
                <w:sz w:val="22"/>
                <w:szCs w:val="22"/>
                <w:rtl w:val="0"/>
              </w:rPr>
              <w:t xml:space="preserve">Skipsea Withow</w:t>
            </w:r>
            <w:r w:rsidDel="00000000" w:rsidR="00000000" w:rsidRPr="00000000">
              <w:rPr>
                <w:rtl w:val="0"/>
              </w:rPr>
            </w:r>
          </w:p>
        </w:tc>
        <w:tc>
          <w:tcPr>
            <w:vAlign w:val="center"/>
          </w:tcPr>
          <w:p w:rsidR="00000000" w:rsidDel="00000000" w:rsidP="00000000" w:rsidRDefault="00000000" w:rsidRPr="00000000" w14:paraId="0000010F">
            <w:pPr>
              <w:contextualSpacing w:val="0"/>
              <w:rPr/>
            </w:pPr>
            <w:r w:rsidDel="00000000" w:rsidR="00000000" w:rsidRPr="00000000">
              <w:rPr>
                <w:b w:val="1"/>
                <w:sz w:val="22"/>
                <w:szCs w:val="22"/>
                <w:rtl w:val="0"/>
              </w:rPr>
              <w:t xml:space="preserve">RK105</w:t>
            </w:r>
            <w:r w:rsidDel="00000000" w:rsidR="00000000" w:rsidRPr="00000000">
              <w:rPr>
                <w:rtl w:val="0"/>
              </w:rPr>
            </w:r>
          </w:p>
        </w:tc>
        <w:tc>
          <w:tcPr>
            <w:vAlign w:val="center"/>
          </w:tcPr>
          <w:p w:rsidR="00000000" w:rsidDel="00000000" w:rsidP="00000000" w:rsidRDefault="00000000" w:rsidRPr="00000000" w14:paraId="00000110">
            <w:pPr>
              <w:contextualSpacing w:val="0"/>
              <w:rPr/>
            </w:pPr>
            <w:r w:rsidDel="00000000" w:rsidR="00000000" w:rsidRPr="00000000">
              <w:rPr>
                <w:b w:val="1"/>
                <w:sz w:val="22"/>
                <w:szCs w:val="22"/>
                <w:rtl w:val="0"/>
              </w:rPr>
              <w:t xml:space="preserve">Red deer</w:t>
            </w:r>
            <w:r w:rsidDel="00000000" w:rsidR="00000000" w:rsidRPr="00000000">
              <w:rPr>
                <w:rtl w:val="0"/>
              </w:rPr>
            </w:r>
          </w:p>
        </w:tc>
        <w:tc>
          <w:tcPr>
            <w:vAlign w:val="center"/>
          </w:tcPr>
          <w:p w:rsidR="00000000" w:rsidDel="00000000" w:rsidP="00000000" w:rsidRDefault="00000000" w:rsidRPr="00000000" w14:paraId="00000111">
            <w:pPr>
              <w:contextualSpacing w:val="0"/>
              <w:rPr/>
            </w:pPr>
            <w:r w:rsidDel="00000000" w:rsidR="00000000" w:rsidRPr="00000000">
              <w:rPr>
                <w:b w:val="1"/>
                <w:sz w:val="22"/>
                <w:szCs w:val="22"/>
                <w:rtl w:val="0"/>
              </w:rPr>
              <w:t xml:space="preserve">Tibia</w:t>
            </w:r>
            <w:r w:rsidDel="00000000" w:rsidR="00000000" w:rsidRPr="00000000">
              <w:rPr>
                <w:rtl w:val="0"/>
              </w:rPr>
            </w:r>
          </w:p>
        </w:tc>
        <w:tc>
          <w:tcPr/>
          <w:p w:rsidR="00000000" w:rsidDel="00000000" w:rsidP="00000000" w:rsidRDefault="00000000" w:rsidRPr="00000000" w14:paraId="00000112">
            <w:pPr>
              <w:contextualSpacing w:val="0"/>
              <w:rPr/>
            </w:pPr>
            <w:r w:rsidDel="00000000" w:rsidR="00000000" w:rsidRPr="00000000">
              <w:rPr>
                <w:b w:val="1"/>
                <w:sz w:val="22"/>
                <w:szCs w:val="22"/>
                <w:rtl w:val="0"/>
              </w:rPr>
              <w:t xml:space="preserve">LG: 415mm</w:t>
            </w:r>
            <w:r w:rsidDel="00000000" w:rsidR="00000000" w:rsidRPr="00000000">
              <w:rPr>
                <w:rtl w:val="0"/>
              </w:rPr>
            </w:r>
          </w:p>
          <w:p w:rsidR="00000000" w:rsidDel="00000000" w:rsidP="00000000" w:rsidRDefault="00000000" w:rsidRPr="00000000" w14:paraId="00000113">
            <w:pPr>
              <w:contextualSpacing w:val="0"/>
              <w:rPr/>
            </w:pPr>
            <w:r w:rsidDel="00000000" w:rsidR="00000000" w:rsidRPr="00000000">
              <w:rPr>
                <w:b w:val="1"/>
                <w:sz w:val="22"/>
                <w:szCs w:val="22"/>
                <w:rtl w:val="0"/>
              </w:rPr>
              <w:t xml:space="preserve">BP: -</w:t>
            </w:r>
            <w:r w:rsidDel="00000000" w:rsidR="00000000" w:rsidRPr="00000000">
              <w:rPr>
                <w:rtl w:val="0"/>
              </w:rPr>
            </w:r>
          </w:p>
          <w:p w:rsidR="00000000" w:rsidDel="00000000" w:rsidP="00000000" w:rsidRDefault="00000000" w:rsidRPr="00000000" w14:paraId="00000114">
            <w:pPr>
              <w:contextualSpacing w:val="0"/>
              <w:rPr/>
            </w:pPr>
            <w:r w:rsidDel="00000000" w:rsidR="00000000" w:rsidRPr="00000000">
              <w:rPr>
                <w:b w:val="1"/>
                <w:sz w:val="22"/>
                <w:szCs w:val="22"/>
                <w:rtl w:val="0"/>
              </w:rPr>
              <w:t xml:space="preserve">BD: 54mm</w:t>
            </w:r>
            <w:r w:rsidDel="00000000" w:rsidR="00000000" w:rsidRPr="00000000">
              <w:rPr>
                <w:rtl w:val="0"/>
              </w:rPr>
            </w:r>
          </w:p>
        </w:tc>
      </w:tr>
      <w:tr>
        <w:tc>
          <w:tcPr>
            <w:vAlign w:val="center"/>
          </w:tcPr>
          <w:p w:rsidR="00000000" w:rsidDel="00000000" w:rsidP="00000000" w:rsidRDefault="00000000" w:rsidRPr="00000000" w14:paraId="00000115">
            <w:pPr>
              <w:contextualSpacing w:val="0"/>
              <w:rPr/>
            </w:pPr>
            <w:r w:rsidDel="00000000" w:rsidR="00000000" w:rsidRPr="00000000">
              <w:rPr>
                <w:sz w:val="22"/>
                <w:szCs w:val="22"/>
                <w:rtl w:val="0"/>
              </w:rPr>
              <w:t xml:space="preserve">Star Carr</w:t>
            </w:r>
            <w:r w:rsidDel="00000000" w:rsidR="00000000" w:rsidRPr="00000000">
              <w:rPr>
                <w:rtl w:val="0"/>
              </w:rPr>
            </w:r>
          </w:p>
        </w:tc>
        <w:tc>
          <w:tcPr>
            <w:vAlign w:val="center"/>
          </w:tcPr>
          <w:p w:rsidR="00000000" w:rsidDel="00000000" w:rsidP="00000000" w:rsidRDefault="00000000" w:rsidRPr="00000000" w14:paraId="00000116">
            <w:pPr>
              <w:contextualSpacing w:val="0"/>
              <w:rPr/>
            </w:pPr>
            <w:r w:rsidDel="00000000" w:rsidR="00000000" w:rsidRPr="00000000">
              <w:rPr>
                <w:sz w:val="22"/>
                <w:szCs w:val="22"/>
                <w:rtl w:val="0"/>
              </w:rPr>
              <w:t xml:space="preserve">103610</w:t>
            </w:r>
            <w:r w:rsidDel="00000000" w:rsidR="00000000" w:rsidRPr="00000000">
              <w:rPr>
                <w:rtl w:val="0"/>
              </w:rPr>
            </w:r>
          </w:p>
        </w:tc>
        <w:tc>
          <w:tcPr>
            <w:vAlign w:val="center"/>
          </w:tcPr>
          <w:p w:rsidR="00000000" w:rsidDel="00000000" w:rsidP="00000000" w:rsidRDefault="00000000" w:rsidRPr="00000000" w14:paraId="00000117">
            <w:pPr>
              <w:contextualSpacing w:val="0"/>
              <w:rPr/>
            </w:pPr>
            <w:r w:rsidDel="00000000" w:rsidR="00000000" w:rsidRPr="00000000">
              <w:rPr>
                <w:sz w:val="22"/>
                <w:szCs w:val="22"/>
                <w:rtl w:val="0"/>
              </w:rPr>
              <w:t xml:space="preserve">Red deer</w:t>
            </w:r>
            <w:r w:rsidDel="00000000" w:rsidR="00000000" w:rsidRPr="00000000">
              <w:rPr>
                <w:rtl w:val="0"/>
              </w:rPr>
            </w:r>
          </w:p>
        </w:tc>
        <w:tc>
          <w:tcPr>
            <w:vAlign w:val="center"/>
          </w:tcPr>
          <w:p w:rsidR="00000000" w:rsidDel="00000000" w:rsidP="00000000" w:rsidRDefault="00000000" w:rsidRPr="00000000" w14:paraId="00000118">
            <w:pPr>
              <w:contextualSpacing w:val="0"/>
              <w:rPr/>
            </w:pPr>
            <w:r w:rsidDel="00000000" w:rsidR="00000000" w:rsidRPr="00000000">
              <w:rPr>
                <w:sz w:val="22"/>
                <w:szCs w:val="22"/>
                <w:rtl w:val="0"/>
              </w:rPr>
              <w:t xml:space="preserve">Tibia</w:t>
            </w:r>
            <w:r w:rsidDel="00000000" w:rsidR="00000000" w:rsidRPr="00000000">
              <w:rPr>
                <w:rtl w:val="0"/>
              </w:rPr>
            </w:r>
          </w:p>
        </w:tc>
        <w:tc>
          <w:tcPr/>
          <w:p w:rsidR="00000000" w:rsidDel="00000000" w:rsidP="00000000" w:rsidRDefault="00000000" w:rsidRPr="00000000" w14:paraId="00000119">
            <w:pPr>
              <w:contextualSpacing w:val="0"/>
              <w:rPr/>
            </w:pPr>
            <w:r w:rsidDel="00000000" w:rsidR="00000000" w:rsidRPr="00000000">
              <w:rPr>
                <w:sz w:val="22"/>
                <w:szCs w:val="22"/>
                <w:rtl w:val="0"/>
              </w:rPr>
              <w:t xml:space="preserve">LG: 395.4mm</w:t>
            </w:r>
            <w:r w:rsidDel="00000000" w:rsidR="00000000" w:rsidRPr="00000000">
              <w:rPr>
                <w:rtl w:val="0"/>
              </w:rPr>
            </w:r>
          </w:p>
          <w:p w:rsidR="00000000" w:rsidDel="00000000" w:rsidP="00000000" w:rsidRDefault="00000000" w:rsidRPr="00000000" w14:paraId="0000011A">
            <w:pPr>
              <w:contextualSpacing w:val="0"/>
              <w:rPr/>
            </w:pPr>
            <w:r w:rsidDel="00000000" w:rsidR="00000000" w:rsidRPr="00000000">
              <w:rPr>
                <w:sz w:val="22"/>
                <w:szCs w:val="22"/>
                <w:rtl w:val="0"/>
              </w:rPr>
              <w:t xml:space="preserve">BP: 77.5mm</w:t>
            </w:r>
            <w:r w:rsidDel="00000000" w:rsidR="00000000" w:rsidRPr="00000000">
              <w:rPr>
                <w:rtl w:val="0"/>
              </w:rPr>
            </w:r>
          </w:p>
          <w:p w:rsidR="00000000" w:rsidDel="00000000" w:rsidP="00000000" w:rsidRDefault="00000000" w:rsidRPr="00000000" w14:paraId="0000011B">
            <w:pPr>
              <w:contextualSpacing w:val="0"/>
              <w:rPr/>
            </w:pPr>
            <w:r w:rsidDel="00000000" w:rsidR="00000000" w:rsidRPr="00000000">
              <w:rPr>
                <w:sz w:val="22"/>
                <w:szCs w:val="22"/>
                <w:rtl w:val="0"/>
              </w:rPr>
              <w:t xml:space="preserve">BD: 54.2mm</w:t>
            </w:r>
            <w:r w:rsidDel="00000000" w:rsidR="00000000" w:rsidRPr="00000000">
              <w:rPr>
                <w:rtl w:val="0"/>
              </w:rPr>
            </w:r>
          </w:p>
        </w:tc>
      </w:tr>
      <w:tr>
        <w:tc>
          <w:tcPr>
            <w:vAlign w:val="center"/>
          </w:tcPr>
          <w:p w:rsidR="00000000" w:rsidDel="00000000" w:rsidP="00000000" w:rsidRDefault="00000000" w:rsidRPr="00000000" w14:paraId="0000011C">
            <w:pPr>
              <w:contextualSpacing w:val="0"/>
              <w:rPr/>
            </w:pPr>
            <w:r w:rsidDel="00000000" w:rsidR="00000000" w:rsidRPr="00000000">
              <w:rPr>
                <w:sz w:val="22"/>
                <w:szCs w:val="22"/>
                <w:rtl w:val="0"/>
              </w:rPr>
              <w:t xml:space="preserve">Star Carr</w:t>
            </w:r>
            <w:r w:rsidDel="00000000" w:rsidR="00000000" w:rsidRPr="00000000">
              <w:rPr>
                <w:rtl w:val="0"/>
              </w:rPr>
            </w:r>
          </w:p>
        </w:tc>
        <w:tc>
          <w:tcPr>
            <w:vAlign w:val="center"/>
          </w:tcPr>
          <w:p w:rsidR="00000000" w:rsidDel="00000000" w:rsidP="00000000" w:rsidRDefault="00000000" w:rsidRPr="00000000" w14:paraId="0000011D">
            <w:pPr>
              <w:contextualSpacing w:val="0"/>
              <w:rPr/>
            </w:pPr>
            <w:r w:rsidDel="00000000" w:rsidR="00000000" w:rsidRPr="00000000">
              <w:rPr>
                <w:sz w:val="22"/>
                <w:szCs w:val="22"/>
                <w:rtl w:val="0"/>
              </w:rPr>
              <w:t xml:space="preserve">103639</w:t>
            </w:r>
            <w:r w:rsidDel="00000000" w:rsidR="00000000" w:rsidRPr="00000000">
              <w:rPr>
                <w:rtl w:val="0"/>
              </w:rPr>
            </w:r>
          </w:p>
        </w:tc>
        <w:tc>
          <w:tcPr>
            <w:vAlign w:val="center"/>
          </w:tcPr>
          <w:p w:rsidR="00000000" w:rsidDel="00000000" w:rsidP="00000000" w:rsidRDefault="00000000" w:rsidRPr="00000000" w14:paraId="0000011E">
            <w:pPr>
              <w:contextualSpacing w:val="0"/>
              <w:rPr/>
            </w:pPr>
            <w:r w:rsidDel="00000000" w:rsidR="00000000" w:rsidRPr="00000000">
              <w:rPr>
                <w:sz w:val="22"/>
                <w:szCs w:val="22"/>
                <w:rtl w:val="0"/>
              </w:rPr>
              <w:t xml:space="preserve">Red deer</w:t>
            </w:r>
            <w:r w:rsidDel="00000000" w:rsidR="00000000" w:rsidRPr="00000000">
              <w:rPr>
                <w:rtl w:val="0"/>
              </w:rPr>
            </w:r>
          </w:p>
        </w:tc>
        <w:tc>
          <w:tcPr>
            <w:vAlign w:val="center"/>
          </w:tcPr>
          <w:p w:rsidR="00000000" w:rsidDel="00000000" w:rsidP="00000000" w:rsidRDefault="00000000" w:rsidRPr="00000000" w14:paraId="0000011F">
            <w:pPr>
              <w:contextualSpacing w:val="0"/>
              <w:rPr/>
            </w:pPr>
            <w:r w:rsidDel="00000000" w:rsidR="00000000" w:rsidRPr="00000000">
              <w:rPr>
                <w:sz w:val="22"/>
                <w:szCs w:val="22"/>
                <w:rtl w:val="0"/>
              </w:rPr>
              <w:t xml:space="preserve">Tibia</w:t>
            </w:r>
            <w:r w:rsidDel="00000000" w:rsidR="00000000" w:rsidRPr="00000000">
              <w:rPr>
                <w:rtl w:val="0"/>
              </w:rPr>
            </w:r>
          </w:p>
        </w:tc>
        <w:tc>
          <w:tcPr/>
          <w:p w:rsidR="00000000" w:rsidDel="00000000" w:rsidP="00000000" w:rsidRDefault="00000000" w:rsidRPr="00000000" w14:paraId="00000120">
            <w:pPr>
              <w:contextualSpacing w:val="0"/>
              <w:rPr/>
            </w:pPr>
            <w:r w:rsidDel="00000000" w:rsidR="00000000" w:rsidRPr="00000000">
              <w:rPr>
                <w:sz w:val="22"/>
                <w:szCs w:val="22"/>
                <w:rtl w:val="0"/>
              </w:rPr>
              <w:t xml:space="preserve">LG: 390.4mm</w:t>
            </w:r>
            <w:r w:rsidDel="00000000" w:rsidR="00000000" w:rsidRPr="00000000">
              <w:rPr>
                <w:rtl w:val="0"/>
              </w:rPr>
            </w:r>
          </w:p>
          <w:p w:rsidR="00000000" w:rsidDel="00000000" w:rsidP="00000000" w:rsidRDefault="00000000" w:rsidRPr="00000000" w14:paraId="00000121">
            <w:pPr>
              <w:contextualSpacing w:val="0"/>
              <w:rPr/>
            </w:pPr>
            <w:r w:rsidDel="00000000" w:rsidR="00000000" w:rsidRPr="00000000">
              <w:rPr>
                <w:sz w:val="22"/>
                <w:szCs w:val="22"/>
                <w:rtl w:val="0"/>
              </w:rPr>
              <w:t xml:space="preserve">BP: 77.5mm</w:t>
            </w:r>
            <w:r w:rsidDel="00000000" w:rsidR="00000000" w:rsidRPr="00000000">
              <w:rPr>
                <w:rtl w:val="0"/>
              </w:rPr>
            </w:r>
          </w:p>
          <w:p w:rsidR="00000000" w:rsidDel="00000000" w:rsidP="00000000" w:rsidRDefault="00000000" w:rsidRPr="00000000" w14:paraId="00000122">
            <w:pPr>
              <w:contextualSpacing w:val="0"/>
              <w:rPr/>
            </w:pPr>
            <w:r w:rsidDel="00000000" w:rsidR="00000000" w:rsidRPr="00000000">
              <w:rPr>
                <w:sz w:val="22"/>
                <w:szCs w:val="22"/>
                <w:rtl w:val="0"/>
              </w:rPr>
              <w:t xml:space="preserve">BD: 55mm</w:t>
            </w:r>
            <w:r w:rsidDel="00000000" w:rsidR="00000000" w:rsidRPr="00000000">
              <w:rPr>
                <w:rtl w:val="0"/>
              </w:rPr>
            </w:r>
          </w:p>
        </w:tc>
      </w:tr>
      <w:tr>
        <w:tc>
          <w:tcPr>
            <w:gridSpan w:val="5"/>
            <w:vAlign w:val="center"/>
          </w:tcPr>
          <w:p w:rsidR="00000000" w:rsidDel="00000000" w:rsidP="00000000" w:rsidRDefault="00000000" w:rsidRPr="00000000" w14:paraId="00000123">
            <w:pPr>
              <w:contextualSpacing w:val="0"/>
              <w:rPr/>
            </w:pPr>
            <w:r w:rsidDel="00000000" w:rsidR="00000000" w:rsidRPr="00000000">
              <w:rPr>
                <w:rtl w:val="0"/>
              </w:rPr>
            </w:r>
          </w:p>
        </w:tc>
      </w:tr>
      <w:tr>
        <w:tc>
          <w:tcPr>
            <w:vAlign w:val="center"/>
          </w:tcPr>
          <w:p w:rsidR="00000000" w:rsidDel="00000000" w:rsidP="00000000" w:rsidRDefault="00000000" w:rsidRPr="00000000" w14:paraId="00000128">
            <w:pPr>
              <w:contextualSpacing w:val="0"/>
              <w:rPr/>
            </w:pPr>
            <w:r w:rsidDel="00000000" w:rsidR="00000000" w:rsidRPr="00000000">
              <w:rPr>
                <w:b w:val="1"/>
                <w:sz w:val="22"/>
                <w:szCs w:val="22"/>
                <w:rtl w:val="0"/>
              </w:rPr>
              <w:t xml:space="preserve">Skipsea Withow</w:t>
            </w:r>
            <w:r w:rsidDel="00000000" w:rsidR="00000000" w:rsidRPr="00000000">
              <w:rPr>
                <w:rtl w:val="0"/>
              </w:rPr>
            </w:r>
          </w:p>
        </w:tc>
        <w:tc>
          <w:tcPr>
            <w:vAlign w:val="center"/>
          </w:tcPr>
          <w:p w:rsidR="00000000" w:rsidDel="00000000" w:rsidP="00000000" w:rsidRDefault="00000000" w:rsidRPr="00000000" w14:paraId="00000129">
            <w:pPr>
              <w:contextualSpacing w:val="0"/>
              <w:rPr/>
            </w:pPr>
            <w:r w:rsidDel="00000000" w:rsidR="00000000" w:rsidRPr="00000000">
              <w:rPr>
                <w:b w:val="1"/>
                <w:sz w:val="22"/>
                <w:szCs w:val="22"/>
                <w:rtl w:val="0"/>
              </w:rPr>
              <w:t xml:space="preserve">RK111</w:t>
            </w:r>
            <w:r w:rsidDel="00000000" w:rsidR="00000000" w:rsidRPr="00000000">
              <w:rPr>
                <w:rtl w:val="0"/>
              </w:rPr>
            </w:r>
          </w:p>
        </w:tc>
        <w:tc>
          <w:tcPr>
            <w:vAlign w:val="center"/>
          </w:tcPr>
          <w:p w:rsidR="00000000" w:rsidDel="00000000" w:rsidP="00000000" w:rsidRDefault="00000000" w:rsidRPr="00000000" w14:paraId="0000012A">
            <w:pPr>
              <w:contextualSpacing w:val="0"/>
              <w:rPr/>
            </w:pPr>
            <w:r w:rsidDel="00000000" w:rsidR="00000000" w:rsidRPr="00000000">
              <w:rPr>
                <w:b w:val="1"/>
                <w:sz w:val="22"/>
                <w:szCs w:val="22"/>
                <w:rtl w:val="0"/>
              </w:rPr>
              <w:t xml:space="preserve">Red deer</w:t>
            </w:r>
            <w:r w:rsidDel="00000000" w:rsidR="00000000" w:rsidRPr="00000000">
              <w:rPr>
                <w:rtl w:val="0"/>
              </w:rPr>
            </w:r>
          </w:p>
        </w:tc>
        <w:tc>
          <w:tcPr>
            <w:vAlign w:val="center"/>
          </w:tcPr>
          <w:p w:rsidR="00000000" w:rsidDel="00000000" w:rsidP="00000000" w:rsidRDefault="00000000" w:rsidRPr="00000000" w14:paraId="0000012B">
            <w:pPr>
              <w:contextualSpacing w:val="0"/>
              <w:rPr/>
            </w:pPr>
            <w:r w:rsidDel="00000000" w:rsidR="00000000" w:rsidRPr="00000000">
              <w:rPr>
                <w:b w:val="1"/>
                <w:sz w:val="22"/>
                <w:szCs w:val="22"/>
                <w:rtl w:val="0"/>
              </w:rPr>
              <w:t xml:space="preserve">Radius</w:t>
            </w:r>
            <w:r w:rsidDel="00000000" w:rsidR="00000000" w:rsidRPr="00000000">
              <w:rPr>
                <w:rtl w:val="0"/>
              </w:rPr>
            </w:r>
          </w:p>
        </w:tc>
        <w:tc>
          <w:tcPr/>
          <w:p w:rsidR="00000000" w:rsidDel="00000000" w:rsidP="00000000" w:rsidRDefault="00000000" w:rsidRPr="00000000" w14:paraId="0000012C">
            <w:pPr>
              <w:contextualSpacing w:val="0"/>
              <w:rPr/>
            </w:pPr>
            <w:r w:rsidDel="00000000" w:rsidR="00000000" w:rsidRPr="00000000">
              <w:rPr>
                <w:b w:val="1"/>
                <w:sz w:val="22"/>
                <w:szCs w:val="22"/>
                <w:rtl w:val="0"/>
              </w:rPr>
              <w:t xml:space="preserve">LG: 327mm</w:t>
            </w:r>
            <w:r w:rsidDel="00000000" w:rsidR="00000000" w:rsidRPr="00000000">
              <w:rPr>
                <w:rtl w:val="0"/>
              </w:rPr>
            </w:r>
          </w:p>
          <w:p w:rsidR="00000000" w:rsidDel="00000000" w:rsidP="00000000" w:rsidRDefault="00000000" w:rsidRPr="00000000" w14:paraId="0000012D">
            <w:pPr>
              <w:contextualSpacing w:val="0"/>
              <w:rPr/>
            </w:pPr>
            <w:r w:rsidDel="00000000" w:rsidR="00000000" w:rsidRPr="00000000">
              <w:rPr>
                <w:b w:val="1"/>
                <w:sz w:val="22"/>
                <w:szCs w:val="22"/>
                <w:rtl w:val="0"/>
              </w:rPr>
              <w:t xml:space="preserve">BP: 65mm</w:t>
            </w:r>
            <w:r w:rsidDel="00000000" w:rsidR="00000000" w:rsidRPr="00000000">
              <w:rPr>
                <w:rtl w:val="0"/>
              </w:rPr>
            </w:r>
          </w:p>
          <w:p w:rsidR="00000000" w:rsidDel="00000000" w:rsidP="00000000" w:rsidRDefault="00000000" w:rsidRPr="00000000" w14:paraId="0000012E">
            <w:pPr>
              <w:contextualSpacing w:val="0"/>
              <w:rPr/>
            </w:pPr>
            <w:r w:rsidDel="00000000" w:rsidR="00000000" w:rsidRPr="00000000">
              <w:rPr>
                <w:b w:val="1"/>
                <w:sz w:val="22"/>
                <w:szCs w:val="22"/>
                <w:rtl w:val="0"/>
              </w:rPr>
              <w:t xml:space="preserve">BD: 57mm</w:t>
            </w:r>
            <w:r w:rsidDel="00000000" w:rsidR="00000000" w:rsidRPr="00000000">
              <w:rPr>
                <w:rtl w:val="0"/>
              </w:rPr>
            </w:r>
          </w:p>
        </w:tc>
      </w:tr>
      <w:tr>
        <w:tc>
          <w:tcPr>
            <w:vAlign w:val="center"/>
          </w:tcPr>
          <w:p w:rsidR="00000000" w:rsidDel="00000000" w:rsidP="00000000" w:rsidRDefault="00000000" w:rsidRPr="00000000" w14:paraId="0000012F">
            <w:pPr>
              <w:contextualSpacing w:val="0"/>
              <w:rPr/>
            </w:pPr>
            <w:r w:rsidDel="00000000" w:rsidR="00000000" w:rsidRPr="00000000">
              <w:rPr>
                <w:sz w:val="22"/>
                <w:szCs w:val="22"/>
                <w:rtl w:val="0"/>
              </w:rPr>
              <w:t xml:space="preserve">Star Carr</w:t>
            </w:r>
            <w:r w:rsidDel="00000000" w:rsidR="00000000" w:rsidRPr="00000000">
              <w:rPr>
                <w:rtl w:val="0"/>
              </w:rPr>
            </w:r>
          </w:p>
        </w:tc>
        <w:tc>
          <w:tcPr>
            <w:vAlign w:val="center"/>
          </w:tcPr>
          <w:p w:rsidR="00000000" w:rsidDel="00000000" w:rsidP="00000000" w:rsidRDefault="00000000" w:rsidRPr="00000000" w14:paraId="00000130">
            <w:pPr>
              <w:contextualSpacing w:val="0"/>
              <w:rPr/>
            </w:pPr>
            <w:r w:rsidDel="00000000" w:rsidR="00000000" w:rsidRPr="00000000">
              <w:rPr>
                <w:sz w:val="22"/>
                <w:szCs w:val="22"/>
                <w:rtl w:val="0"/>
              </w:rPr>
              <w:t xml:space="preserve">103423</w:t>
            </w:r>
            <w:r w:rsidDel="00000000" w:rsidR="00000000" w:rsidRPr="00000000">
              <w:rPr>
                <w:rtl w:val="0"/>
              </w:rPr>
            </w:r>
          </w:p>
        </w:tc>
        <w:tc>
          <w:tcPr>
            <w:vAlign w:val="center"/>
          </w:tcPr>
          <w:p w:rsidR="00000000" w:rsidDel="00000000" w:rsidP="00000000" w:rsidRDefault="00000000" w:rsidRPr="00000000" w14:paraId="00000131">
            <w:pPr>
              <w:contextualSpacing w:val="0"/>
              <w:rPr/>
            </w:pPr>
            <w:r w:rsidDel="00000000" w:rsidR="00000000" w:rsidRPr="00000000">
              <w:rPr>
                <w:sz w:val="22"/>
                <w:szCs w:val="22"/>
                <w:rtl w:val="0"/>
              </w:rPr>
              <w:t xml:space="preserve">Red deer</w:t>
            </w:r>
            <w:r w:rsidDel="00000000" w:rsidR="00000000" w:rsidRPr="00000000">
              <w:rPr>
                <w:rtl w:val="0"/>
              </w:rPr>
            </w:r>
          </w:p>
        </w:tc>
        <w:tc>
          <w:tcPr>
            <w:vAlign w:val="center"/>
          </w:tcPr>
          <w:p w:rsidR="00000000" w:rsidDel="00000000" w:rsidP="00000000" w:rsidRDefault="00000000" w:rsidRPr="00000000" w14:paraId="00000132">
            <w:pPr>
              <w:contextualSpacing w:val="0"/>
              <w:rPr/>
            </w:pPr>
            <w:r w:rsidDel="00000000" w:rsidR="00000000" w:rsidRPr="00000000">
              <w:rPr>
                <w:sz w:val="22"/>
                <w:szCs w:val="22"/>
                <w:rtl w:val="0"/>
              </w:rPr>
              <w:t xml:space="preserve">Radius</w:t>
            </w:r>
            <w:r w:rsidDel="00000000" w:rsidR="00000000" w:rsidRPr="00000000">
              <w:rPr>
                <w:rtl w:val="0"/>
              </w:rPr>
            </w:r>
          </w:p>
        </w:tc>
        <w:tc>
          <w:tcPr/>
          <w:p w:rsidR="00000000" w:rsidDel="00000000" w:rsidP="00000000" w:rsidRDefault="00000000" w:rsidRPr="00000000" w14:paraId="00000133">
            <w:pPr>
              <w:contextualSpacing w:val="0"/>
              <w:rPr/>
            </w:pPr>
            <w:r w:rsidDel="00000000" w:rsidR="00000000" w:rsidRPr="00000000">
              <w:rPr>
                <w:sz w:val="22"/>
                <w:szCs w:val="22"/>
                <w:rtl w:val="0"/>
              </w:rPr>
              <w:t xml:space="preserve">LG: 295mm</w:t>
            </w:r>
            <w:r w:rsidDel="00000000" w:rsidR="00000000" w:rsidRPr="00000000">
              <w:rPr>
                <w:rtl w:val="0"/>
              </w:rPr>
            </w:r>
          </w:p>
          <w:p w:rsidR="00000000" w:rsidDel="00000000" w:rsidP="00000000" w:rsidRDefault="00000000" w:rsidRPr="00000000" w14:paraId="00000134">
            <w:pPr>
              <w:contextualSpacing w:val="0"/>
              <w:rPr/>
            </w:pPr>
            <w:r w:rsidDel="00000000" w:rsidR="00000000" w:rsidRPr="00000000">
              <w:rPr>
                <w:sz w:val="22"/>
                <w:szCs w:val="22"/>
                <w:rtl w:val="0"/>
              </w:rPr>
              <w:t xml:space="preserve">BP: 60.1mm</w:t>
            </w:r>
            <w:r w:rsidDel="00000000" w:rsidR="00000000" w:rsidRPr="00000000">
              <w:rPr>
                <w:rtl w:val="0"/>
              </w:rPr>
            </w:r>
          </w:p>
          <w:p w:rsidR="00000000" w:rsidDel="00000000" w:rsidP="00000000" w:rsidRDefault="00000000" w:rsidRPr="00000000" w14:paraId="00000135">
            <w:pPr>
              <w:contextualSpacing w:val="0"/>
              <w:rPr/>
            </w:pPr>
            <w:r w:rsidDel="00000000" w:rsidR="00000000" w:rsidRPr="00000000">
              <w:rPr>
                <w:sz w:val="22"/>
                <w:szCs w:val="22"/>
                <w:rtl w:val="0"/>
              </w:rPr>
              <w:t xml:space="preserve">BD: 46.2mm</w:t>
            </w:r>
            <w:r w:rsidDel="00000000" w:rsidR="00000000" w:rsidRPr="00000000">
              <w:rPr>
                <w:rtl w:val="0"/>
              </w:rPr>
            </w:r>
          </w:p>
        </w:tc>
      </w:tr>
      <w:tr>
        <w:trPr>
          <w:trHeight w:val="900" w:hRule="atLeast"/>
        </w:trPr>
        <w:tc>
          <w:tcPr>
            <w:vAlign w:val="center"/>
          </w:tcPr>
          <w:p w:rsidR="00000000" w:rsidDel="00000000" w:rsidP="00000000" w:rsidRDefault="00000000" w:rsidRPr="00000000" w14:paraId="00000136">
            <w:pPr>
              <w:contextualSpacing w:val="0"/>
              <w:rPr/>
            </w:pPr>
            <w:r w:rsidDel="00000000" w:rsidR="00000000" w:rsidRPr="00000000">
              <w:rPr>
                <w:sz w:val="22"/>
                <w:szCs w:val="22"/>
                <w:rtl w:val="0"/>
              </w:rPr>
              <w:t xml:space="preserve">Star Carr</w:t>
            </w:r>
            <w:r w:rsidDel="00000000" w:rsidR="00000000" w:rsidRPr="00000000">
              <w:rPr>
                <w:rtl w:val="0"/>
              </w:rPr>
            </w:r>
          </w:p>
        </w:tc>
        <w:tc>
          <w:tcPr>
            <w:vAlign w:val="center"/>
          </w:tcPr>
          <w:p w:rsidR="00000000" w:rsidDel="00000000" w:rsidP="00000000" w:rsidRDefault="00000000" w:rsidRPr="00000000" w14:paraId="00000137">
            <w:pPr>
              <w:contextualSpacing w:val="0"/>
              <w:rPr/>
            </w:pPr>
            <w:r w:rsidDel="00000000" w:rsidR="00000000" w:rsidRPr="00000000">
              <w:rPr>
                <w:sz w:val="22"/>
                <w:szCs w:val="22"/>
                <w:rtl w:val="0"/>
              </w:rPr>
              <w:t xml:space="preserve">108594</w:t>
            </w:r>
            <w:r w:rsidDel="00000000" w:rsidR="00000000" w:rsidRPr="00000000">
              <w:rPr>
                <w:rtl w:val="0"/>
              </w:rPr>
            </w:r>
          </w:p>
        </w:tc>
        <w:tc>
          <w:tcPr>
            <w:vAlign w:val="center"/>
          </w:tcPr>
          <w:p w:rsidR="00000000" w:rsidDel="00000000" w:rsidP="00000000" w:rsidRDefault="00000000" w:rsidRPr="00000000" w14:paraId="00000138">
            <w:pPr>
              <w:contextualSpacing w:val="0"/>
              <w:rPr/>
            </w:pPr>
            <w:r w:rsidDel="00000000" w:rsidR="00000000" w:rsidRPr="00000000">
              <w:rPr>
                <w:sz w:val="22"/>
                <w:szCs w:val="22"/>
                <w:rtl w:val="0"/>
              </w:rPr>
              <w:t xml:space="preserve">Red deer</w:t>
            </w:r>
            <w:r w:rsidDel="00000000" w:rsidR="00000000" w:rsidRPr="00000000">
              <w:rPr>
                <w:rtl w:val="0"/>
              </w:rPr>
            </w:r>
          </w:p>
        </w:tc>
        <w:tc>
          <w:tcPr>
            <w:vAlign w:val="center"/>
          </w:tcPr>
          <w:p w:rsidR="00000000" w:rsidDel="00000000" w:rsidP="00000000" w:rsidRDefault="00000000" w:rsidRPr="00000000" w14:paraId="00000139">
            <w:pPr>
              <w:contextualSpacing w:val="0"/>
              <w:rPr/>
            </w:pPr>
            <w:r w:rsidDel="00000000" w:rsidR="00000000" w:rsidRPr="00000000">
              <w:rPr>
                <w:sz w:val="22"/>
                <w:szCs w:val="22"/>
                <w:rtl w:val="0"/>
              </w:rPr>
              <w:t xml:space="preserve">Radius</w:t>
            </w:r>
            <w:r w:rsidDel="00000000" w:rsidR="00000000" w:rsidRPr="00000000">
              <w:rPr>
                <w:rtl w:val="0"/>
              </w:rPr>
            </w:r>
          </w:p>
        </w:tc>
        <w:tc>
          <w:tcPr/>
          <w:p w:rsidR="00000000" w:rsidDel="00000000" w:rsidP="00000000" w:rsidRDefault="00000000" w:rsidRPr="00000000" w14:paraId="0000013A">
            <w:pPr>
              <w:contextualSpacing w:val="0"/>
              <w:rPr/>
            </w:pPr>
            <w:r w:rsidDel="00000000" w:rsidR="00000000" w:rsidRPr="00000000">
              <w:rPr>
                <w:sz w:val="22"/>
                <w:szCs w:val="22"/>
                <w:rtl w:val="0"/>
              </w:rPr>
              <w:t xml:space="preserve">LG: 294mm</w:t>
            </w:r>
            <w:r w:rsidDel="00000000" w:rsidR="00000000" w:rsidRPr="00000000">
              <w:rPr>
                <w:rtl w:val="0"/>
              </w:rPr>
            </w:r>
          </w:p>
          <w:p w:rsidR="00000000" w:rsidDel="00000000" w:rsidP="00000000" w:rsidRDefault="00000000" w:rsidRPr="00000000" w14:paraId="0000013B">
            <w:pPr>
              <w:contextualSpacing w:val="0"/>
              <w:rPr/>
            </w:pPr>
            <w:r w:rsidDel="00000000" w:rsidR="00000000" w:rsidRPr="00000000">
              <w:rPr>
                <w:sz w:val="22"/>
                <w:szCs w:val="22"/>
                <w:rtl w:val="0"/>
              </w:rPr>
              <w:t xml:space="preserve">BP: 60.2mm</w:t>
            </w:r>
            <w:r w:rsidDel="00000000" w:rsidR="00000000" w:rsidRPr="00000000">
              <w:rPr>
                <w:rtl w:val="0"/>
              </w:rPr>
            </w:r>
          </w:p>
          <w:p w:rsidR="00000000" w:rsidDel="00000000" w:rsidP="00000000" w:rsidRDefault="00000000" w:rsidRPr="00000000" w14:paraId="0000013C">
            <w:pPr>
              <w:contextualSpacing w:val="0"/>
              <w:rPr/>
            </w:pPr>
            <w:r w:rsidDel="00000000" w:rsidR="00000000" w:rsidRPr="00000000">
              <w:rPr>
                <w:sz w:val="22"/>
                <w:szCs w:val="22"/>
                <w:rtl w:val="0"/>
              </w:rPr>
              <w:t xml:space="preserve">BD: 50.7mm</w:t>
            </w:r>
            <w:r w:rsidDel="00000000" w:rsidR="00000000" w:rsidRPr="00000000">
              <w:rPr>
                <w:rtl w:val="0"/>
              </w:rPr>
            </w:r>
          </w:p>
        </w:tc>
      </w:tr>
      <w:tr>
        <w:trPr>
          <w:trHeight w:val="180" w:hRule="atLeast"/>
        </w:trPr>
        <w:tc>
          <w:tcPr>
            <w:gridSpan w:val="5"/>
            <w:vAlign w:val="center"/>
          </w:tcPr>
          <w:p w:rsidR="00000000" w:rsidDel="00000000" w:rsidP="00000000" w:rsidRDefault="00000000" w:rsidRPr="00000000" w14:paraId="0000013D">
            <w:pPr>
              <w:contextualSpacing w:val="0"/>
              <w:rPr/>
            </w:pPr>
            <w:r w:rsidDel="00000000" w:rsidR="00000000" w:rsidRPr="00000000">
              <w:rPr>
                <w:rtl w:val="0"/>
              </w:rPr>
            </w:r>
          </w:p>
        </w:tc>
      </w:tr>
      <w:tr>
        <w:tc>
          <w:tcPr>
            <w:vAlign w:val="center"/>
          </w:tcPr>
          <w:p w:rsidR="00000000" w:rsidDel="00000000" w:rsidP="00000000" w:rsidRDefault="00000000" w:rsidRPr="00000000" w14:paraId="00000142">
            <w:pPr>
              <w:contextualSpacing w:val="0"/>
              <w:rPr/>
            </w:pPr>
            <w:r w:rsidDel="00000000" w:rsidR="00000000" w:rsidRPr="00000000">
              <w:rPr>
                <w:b w:val="1"/>
                <w:sz w:val="22"/>
                <w:szCs w:val="22"/>
                <w:rtl w:val="0"/>
              </w:rPr>
              <w:t xml:space="preserve">Skipsea Withow</w:t>
            </w:r>
            <w:r w:rsidDel="00000000" w:rsidR="00000000" w:rsidRPr="00000000">
              <w:rPr>
                <w:rtl w:val="0"/>
              </w:rPr>
            </w:r>
          </w:p>
        </w:tc>
        <w:tc>
          <w:tcPr>
            <w:vAlign w:val="center"/>
          </w:tcPr>
          <w:p w:rsidR="00000000" w:rsidDel="00000000" w:rsidP="00000000" w:rsidRDefault="00000000" w:rsidRPr="00000000" w14:paraId="00000143">
            <w:pPr>
              <w:contextualSpacing w:val="0"/>
              <w:rPr/>
            </w:pPr>
            <w:r w:rsidDel="00000000" w:rsidR="00000000" w:rsidRPr="00000000">
              <w:rPr>
                <w:b w:val="1"/>
                <w:sz w:val="22"/>
                <w:szCs w:val="22"/>
                <w:rtl w:val="0"/>
              </w:rPr>
              <w:t xml:space="preserve">RK110</w:t>
            </w:r>
            <w:r w:rsidDel="00000000" w:rsidR="00000000" w:rsidRPr="00000000">
              <w:rPr>
                <w:rtl w:val="0"/>
              </w:rPr>
            </w:r>
          </w:p>
        </w:tc>
        <w:tc>
          <w:tcPr>
            <w:vAlign w:val="center"/>
          </w:tcPr>
          <w:p w:rsidR="00000000" w:rsidDel="00000000" w:rsidP="00000000" w:rsidRDefault="00000000" w:rsidRPr="00000000" w14:paraId="00000144">
            <w:pPr>
              <w:contextualSpacing w:val="0"/>
              <w:rPr/>
            </w:pPr>
            <w:r w:rsidDel="00000000" w:rsidR="00000000" w:rsidRPr="00000000">
              <w:rPr>
                <w:b w:val="1"/>
                <w:sz w:val="22"/>
                <w:szCs w:val="22"/>
                <w:rtl w:val="0"/>
              </w:rPr>
              <w:t xml:space="preserve">Red deer</w:t>
            </w:r>
            <w:r w:rsidDel="00000000" w:rsidR="00000000" w:rsidRPr="00000000">
              <w:rPr>
                <w:rtl w:val="0"/>
              </w:rPr>
            </w:r>
          </w:p>
        </w:tc>
        <w:tc>
          <w:tcPr>
            <w:vAlign w:val="center"/>
          </w:tcPr>
          <w:p w:rsidR="00000000" w:rsidDel="00000000" w:rsidP="00000000" w:rsidRDefault="00000000" w:rsidRPr="00000000" w14:paraId="00000145">
            <w:pPr>
              <w:contextualSpacing w:val="0"/>
              <w:rPr/>
            </w:pPr>
            <w:r w:rsidDel="00000000" w:rsidR="00000000" w:rsidRPr="00000000">
              <w:rPr>
                <w:b w:val="1"/>
                <w:sz w:val="22"/>
                <w:szCs w:val="22"/>
                <w:rtl w:val="0"/>
              </w:rPr>
              <w:t xml:space="preserve">Ulna</w:t>
            </w:r>
            <w:r w:rsidDel="00000000" w:rsidR="00000000" w:rsidRPr="00000000">
              <w:rPr>
                <w:rtl w:val="0"/>
              </w:rPr>
            </w:r>
          </w:p>
        </w:tc>
        <w:tc>
          <w:tcPr/>
          <w:p w:rsidR="00000000" w:rsidDel="00000000" w:rsidP="00000000" w:rsidRDefault="00000000" w:rsidRPr="00000000" w14:paraId="00000146">
            <w:pPr>
              <w:contextualSpacing w:val="0"/>
              <w:rPr/>
            </w:pPr>
            <w:r w:rsidDel="00000000" w:rsidR="00000000" w:rsidRPr="00000000">
              <w:rPr>
                <w:b w:val="1"/>
                <w:sz w:val="22"/>
                <w:szCs w:val="22"/>
                <w:rtl w:val="0"/>
              </w:rPr>
              <w:t xml:space="preserve">LG: 411mm</w:t>
            </w:r>
            <w:r w:rsidDel="00000000" w:rsidR="00000000" w:rsidRPr="00000000">
              <w:rPr>
                <w:rtl w:val="0"/>
              </w:rPr>
            </w:r>
          </w:p>
          <w:p w:rsidR="00000000" w:rsidDel="00000000" w:rsidP="00000000" w:rsidRDefault="00000000" w:rsidRPr="00000000" w14:paraId="00000147">
            <w:pPr>
              <w:contextualSpacing w:val="0"/>
              <w:rPr/>
            </w:pPr>
            <w:r w:rsidDel="00000000" w:rsidR="00000000" w:rsidRPr="00000000">
              <w:rPr>
                <w:b w:val="1"/>
                <w:sz w:val="22"/>
                <w:szCs w:val="22"/>
                <w:rtl w:val="0"/>
              </w:rPr>
              <w:t xml:space="preserve">BPC: 34mm</w:t>
            </w:r>
            <w:r w:rsidDel="00000000" w:rsidR="00000000" w:rsidRPr="00000000">
              <w:rPr>
                <w:rtl w:val="0"/>
              </w:rPr>
            </w:r>
          </w:p>
          <w:p w:rsidR="00000000" w:rsidDel="00000000" w:rsidP="00000000" w:rsidRDefault="00000000" w:rsidRPr="00000000" w14:paraId="00000148">
            <w:pPr>
              <w:contextualSpacing w:val="0"/>
              <w:rPr/>
            </w:pPr>
            <w:r w:rsidDel="00000000" w:rsidR="00000000" w:rsidRPr="00000000">
              <w:rPr>
                <w:b w:val="1"/>
                <w:sz w:val="22"/>
                <w:szCs w:val="22"/>
                <w:rtl w:val="0"/>
              </w:rPr>
              <w:t xml:space="preserve">LO: 89mm</w:t>
            </w:r>
            <w:r w:rsidDel="00000000" w:rsidR="00000000" w:rsidRPr="00000000">
              <w:rPr>
                <w:rtl w:val="0"/>
              </w:rPr>
            </w:r>
          </w:p>
        </w:tc>
      </w:tr>
      <w:tr>
        <w:tc>
          <w:tcPr>
            <w:vAlign w:val="center"/>
          </w:tcPr>
          <w:p w:rsidR="00000000" w:rsidDel="00000000" w:rsidP="00000000" w:rsidRDefault="00000000" w:rsidRPr="00000000" w14:paraId="00000149">
            <w:pPr>
              <w:contextualSpacing w:val="0"/>
              <w:rPr/>
            </w:pPr>
            <w:r w:rsidDel="00000000" w:rsidR="00000000" w:rsidRPr="00000000">
              <w:rPr>
                <w:sz w:val="22"/>
                <w:szCs w:val="22"/>
                <w:rtl w:val="0"/>
              </w:rPr>
              <w:t xml:space="preserve">Star Carr</w:t>
            </w:r>
            <w:r w:rsidDel="00000000" w:rsidR="00000000" w:rsidRPr="00000000">
              <w:rPr>
                <w:rtl w:val="0"/>
              </w:rPr>
            </w:r>
          </w:p>
        </w:tc>
        <w:tc>
          <w:tcPr>
            <w:vAlign w:val="center"/>
          </w:tcPr>
          <w:p w:rsidR="00000000" w:rsidDel="00000000" w:rsidP="00000000" w:rsidRDefault="00000000" w:rsidRPr="00000000" w14:paraId="0000014A">
            <w:pPr>
              <w:contextualSpacing w:val="0"/>
              <w:rPr/>
            </w:pPr>
            <w:r w:rsidDel="00000000" w:rsidR="00000000" w:rsidRPr="00000000">
              <w:rPr>
                <w:sz w:val="22"/>
                <w:szCs w:val="22"/>
                <w:rtl w:val="0"/>
              </w:rPr>
              <w:t xml:space="preserve">103424</w:t>
            </w:r>
            <w:r w:rsidDel="00000000" w:rsidR="00000000" w:rsidRPr="00000000">
              <w:rPr>
                <w:rtl w:val="0"/>
              </w:rPr>
            </w:r>
          </w:p>
        </w:tc>
        <w:tc>
          <w:tcPr>
            <w:vAlign w:val="center"/>
          </w:tcPr>
          <w:p w:rsidR="00000000" w:rsidDel="00000000" w:rsidP="00000000" w:rsidRDefault="00000000" w:rsidRPr="00000000" w14:paraId="0000014B">
            <w:pPr>
              <w:contextualSpacing w:val="0"/>
              <w:rPr/>
            </w:pPr>
            <w:r w:rsidDel="00000000" w:rsidR="00000000" w:rsidRPr="00000000">
              <w:rPr>
                <w:sz w:val="22"/>
                <w:szCs w:val="22"/>
                <w:rtl w:val="0"/>
              </w:rPr>
              <w:t xml:space="preserve">Red deer</w:t>
            </w:r>
            <w:r w:rsidDel="00000000" w:rsidR="00000000" w:rsidRPr="00000000">
              <w:rPr>
                <w:rtl w:val="0"/>
              </w:rPr>
            </w:r>
          </w:p>
        </w:tc>
        <w:tc>
          <w:tcPr>
            <w:vAlign w:val="center"/>
          </w:tcPr>
          <w:p w:rsidR="00000000" w:rsidDel="00000000" w:rsidP="00000000" w:rsidRDefault="00000000" w:rsidRPr="00000000" w14:paraId="0000014C">
            <w:pPr>
              <w:contextualSpacing w:val="0"/>
              <w:rPr/>
            </w:pPr>
            <w:r w:rsidDel="00000000" w:rsidR="00000000" w:rsidRPr="00000000">
              <w:rPr>
                <w:sz w:val="22"/>
                <w:szCs w:val="22"/>
                <w:rtl w:val="0"/>
              </w:rPr>
              <w:t xml:space="preserve">Ulna</w:t>
            </w:r>
            <w:r w:rsidDel="00000000" w:rsidR="00000000" w:rsidRPr="00000000">
              <w:rPr>
                <w:rtl w:val="0"/>
              </w:rPr>
            </w:r>
          </w:p>
        </w:tc>
        <w:tc>
          <w:tcPr/>
          <w:p w:rsidR="00000000" w:rsidDel="00000000" w:rsidP="00000000" w:rsidRDefault="00000000" w:rsidRPr="00000000" w14:paraId="0000014D">
            <w:pPr>
              <w:contextualSpacing w:val="0"/>
              <w:rPr/>
            </w:pPr>
            <w:r w:rsidDel="00000000" w:rsidR="00000000" w:rsidRPr="00000000">
              <w:rPr>
                <w:sz w:val="22"/>
                <w:szCs w:val="22"/>
                <w:rtl w:val="0"/>
              </w:rPr>
              <w:t xml:space="preserve">LG: 364mm</w:t>
            </w:r>
            <w:r w:rsidDel="00000000" w:rsidR="00000000" w:rsidRPr="00000000">
              <w:rPr>
                <w:rtl w:val="0"/>
              </w:rPr>
            </w:r>
          </w:p>
          <w:p w:rsidR="00000000" w:rsidDel="00000000" w:rsidP="00000000" w:rsidRDefault="00000000" w:rsidRPr="00000000" w14:paraId="0000014E">
            <w:pPr>
              <w:contextualSpacing w:val="0"/>
              <w:rPr/>
            </w:pPr>
            <w:r w:rsidDel="00000000" w:rsidR="00000000" w:rsidRPr="00000000">
              <w:rPr>
                <w:sz w:val="22"/>
                <w:szCs w:val="22"/>
                <w:rtl w:val="0"/>
              </w:rPr>
              <w:t xml:space="preserve">BPC: 31.2mm</w:t>
            </w:r>
            <w:r w:rsidDel="00000000" w:rsidR="00000000" w:rsidRPr="00000000">
              <w:rPr>
                <w:rtl w:val="0"/>
              </w:rPr>
            </w:r>
          </w:p>
          <w:p w:rsidR="00000000" w:rsidDel="00000000" w:rsidP="00000000" w:rsidRDefault="00000000" w:rsidRPr="00000000" w14:paraId="0000014F">
            <w:pPr>
              <w:contextualSpacing w:val="0"/>
              <w:rPr/>
            </w:pPr>
            <w:r w:rsidDel="00000000" w:rsidR="00000000" w:rsidRPr="00000000">
              <w:rPr>
                <w:sz w:val="22"/>
                <w:szCs w:val="22"/>
                <w:rtl w:val="0"/>
              </w:rPr>
              <w:t xml:space="preserve">LO: 81.4mm</w:t>
            </w:r>
            <w:r w:rsidDel="00000000" w:rsidR="00000000" w:rsidRPr="00000000">
              <w:rPr>
                <w:rtl w:val="0"/>
              </w:rPr>
            </w:r>
          </w:p>
        </w:tc>
      </w:tr>
      <w:tr>
        <w:tc>
          <w:tcPr>
            <w:vAlign w:val="center"/>
          </w:tcPr>
          <w:p w:rsidR="00000000" w:rsidDel="00000000" w:rsidP="00000000" w:rsidRDefault="00000000" w:rsidRPr="00000000" w14:paraId="00000150">
            <w:pPr>
              <w:contextualSpacing w:val="0"/>
              <w:rPr/>
            </w:pPr>
            <w:r w:rsidDel="00000000" w:rsidR="00000000" w:rsidRPr="00000000">
              <w:rPr>
                <w:sz w:val="22"/>
                <w:szCs w:val="22"/>
                <w:rtl w:val="0"/>
              </w:rPr>
              <w:t xml:space="preserve">Star Carr</w:t>
            </w:r>
            <w:r w:rsidDel="00000000" w:rsidR="00000000" w:rsidRPr="00000000">
              <w:rPr>
                <w:rtl w:val="0"/>
              </w:rPr>
            </w:r>
          </w:p>
        </w:tc>
        <w:tc>
          <w:tcPr>
            <w:vAlign w:val="center"/>
          </w:tcPr>
          <w:p w:rsidR="00000000" w:rsidDel="00000000" w:rsidP="00000000" w:rsidRDefault="00000000" w:rsidRPr="00000000" w14:paraId="00000151">
            <w:pPr>
              <w:contextualSpacing w:val="0"/>
              <w:rPr/>
            </w:pPr>
            <w:r w:rsidDel="00000000" w:rsidR="00000000" w:rsidRPr="00000000">
              <w:rPr>
                <w:sz w:val="22"/>
                <w:szCs w:val="22"/>
                <w:rtl w:val="0"/>
              </w:rPr>
              <w:t xml:space="preserve">103640</w:t>
            </w:r>
            <w:r w:rsidDel="00000000" w:rsidR="00000000" w:rsidRPr="00000000">
              <w:rPr>
                <w:rtl w:val="0"/>
              </w:rPr>
            </w:r>
          </w:p>
        </w:tc>
        <w:tc>
          <w:tcPr>
            <w:vAlign w:val="center"/>
          </w:tcPr>
          <w:p w:rsidR="00000000" w:rsidDel="00000000" w:rsidP="00000000" w:rsidRDefault="00000000" w:rsidRPr="00000000" w14:paraId="00000152">
            <w:pPr>
              <w:contextualSpacing w:val="0"/>
              <w:rPr/>
            </w:pPr>
            <w:r w:rsidDel="00000000" w:rsidR="00000000" w:rsidRPr="00000000">
              <w:rPr>
                <w:sz w:val="22"/>
                <w:szCs w:val="22"/>
                <w:rtl w:val="0"/>
              </w:rPr>
              <w:t xml:space="preserve">Red deer</w:t>
            </w:r>
            <w:r w:rsidDel="00000000" w:rsidR="00000000" w:rsidRPr="00000000">
              <w:rPr>
                <w:rtl w:val="0"/>
              </w:rPr>
            </w:r>
          </w:p>
        </w:tc>
        <w:tc>
          <w:tcPr>
            <w:vAlign w:val="center"/>
          </w:tcPr>
          <w:p w:rsidR="00000000" w:rsidDel="00000000" w:rsidP="00000000" w:rsidRDefault="00000000" w:rsidRPr="00000000" w14:paraId="00000153">
            <w:pPr>
              <w:contextualSpacing w:val="0"/>
              <w:rPr/>
            </w:pPr>
            <w:r w:rsidDel="00000000" w:rsidR="00000000" w:rsidRPr="00000000">
              <w:rPr>
                <w:sz w:val="22"/>
                <w:szCs w:val="22"/>
                <w:rtl w:val="0"/>
              </w:rPr>
              <w:t xml:space="preserve">Ulna</w:t>
            </w:r>
            <w:r w:rsidDel="00000000" w:rsidR="00000000" w:rsidRPr="00000000">
              <w:rPr>
                <w:rtl w:val="0"/>
              </w:rPr>
            </w:r>
          </w:p>
        </w:tc>
        <w:tc>
          <w:tcPr/>
          <w:p w:rsidR="00000000" w:rsidDel="00000000" w:rsidP="00000000" w:rsidRDefault="00000000" w:rsidRPr="00000000" w14:paraId="00000154">
            <w:pPr>
              <w:contextualSpacing w:val="0"/>
              <w:rPr/>
            </w:pPr>
            <w:r w:rsidDel="00000000" w:rsidR="00000000" w:rsidRPr="00000000">
              <w:rPr>
                <w:sz w:val="22"/>
                <w:szCs w:val="22"/>
                <w:rtl w:val="0"/>
              </w:rPr>
              <w:t xml:space="preserve">LG: 257.5mm</w:t>
            </w:r>
            <w:r w:rsidDel="00000000" w:rsidR="00000000" w:rsidRPr="00000000">
              <w:rPr>
                <w:rtl w:val="0"/>
              </w:rPr>
            </w:r>
          </w:p>
          <w:p w:rsidR="00000000" w:rsidDel="00000000" w:rsidP="00000000" w:rsidRDefault="00000000" w:rsidRPr="00000000" w14:paraId="00000155">
            <w:pPr>
              <w:contextualSpacing w:val="0"/>
              <w:rPr/>
            </w:pPr>
            <w:r w:rsidDel="00000000" w:rsidR="00000000" w:rsidRPr="00000000">
              <w:rPr>
                <w:sz w:val="22"/>
                <w:szCs w:val="22"/>
                <w:rtl w:val="0"/>
              </w:rPr>
              <w:t xml:space="preserve">BPC: 30.7mm</w:t>
            </w:r>
            <w:r w:rsidDel="00000000" w:rsidR="00000000" w:rsidRPr="00000000">
              <w:rPr>
                <w:rtl w:val="0"/>
              </w:rPr>
            </w:r>
          </w:p>
          <w:p w:rsidR="00000000" w:rsidDel="00000000" w:rsidP="00000000" w:rsidRDefault="00000000" w:rsidRPr="00000000" w14:paraId="00000156">
            <w:pPr>
              <w:contextualSpacing w:val="0"/>
              <w:rPr/>
            </w:pPr>
            <w:r w:rsidDel="00000000" w:rsidR="00000000" w:rsidRPr="00000000">
              <w:rPr>
                <w:sz w:val="22"/>
                <w:szCs w:val="22"/>
                <w:rtl w:val="0"/>
              </w:rPr>
              <w:t xml:space="preserve">LO: 75.3mm</w:t>
            </w:r>
            <w:r w:rsidDel="00000000" w:rsidR="00000000" w:rsidRPr="00000000">
              <w:rPr>
                <w:rtl w:val="0"/>
              </w:rPr>
            </w:r>
          </w:p>
        </w:tc>
      </w:tr>
    </w:tbl>
    <w:p w:rsidR="00000000" w:rsidDel="00000000" w:rsidP="00000000" w:rsidRDefault="00000000" w:rsidRPr="00000000" w14:paraId="00000157">
      <w:pPr>
        <w:contextualSpacing w:val="0"/>
        <w:rPr/>
      </w:pPr>
      <w:r w:rsidDel="00000000" w:rsidR="00000000" w:rsidRPr="00000000">
        <w:rPr>
          <w:rtl w:val="0"/>
        </w:rPr>
        <w:t xml:space="preserve">Table 2: Comparison of the metric measurements taken from complete red deer elements from Skipsea and Star Carr. (LG = total length, BP = width of proximal epiphysis, BG = width of distal epiphysis). </w:t>
      </w:r>
    </w:p>
    <w:p w:rsidR="00000000" w:rsidDel="00000000" w:rsidP="00000000" w:rsidRDefault="00000000" w:rsidRPr="00000000" w14:paraId="00000158">
      <w:pPr>
        <w:contextualSpacing w:val="0"/>
        <w:rPr/>
      </w:pPr>
      <w:r w:rsidDel="00000000" w:rsidR="00000000" w:rsidRPr="00000000">
        <w:rPr>
          <w:rtl w:val="0"/>
        </w:rPr>
      </w:r>
    </w:p>
    <w:p w:rsidR="00000000" w:rsidDel="00000000" w:rsidP="00000000" w:rsidRDefault="00000000" w:rsidRPr="00000000" w14:paraId="00000159">
      <w:pPr>
        <w:contextualSpacing w:val="0"/>
        <w:rPr/>
      </w:pPr>
      <w:r w:rsidDel="00000000" w:rsidR="00000000" w:rsidRPr="00000000">
        <w:rPr>
          <w:rtl w:val="0"/>
        </w:rPr>
      </w:r>
    </w:p>
    <w:p w:rsidR="00000000" w:rsidDel="00000000" w:rsidP="00000000" w:rsidRDefault="00000000" w:rsidRPr="00000000" w14:paraId="0000015A">
      <w:pPr>
        <w:contextualSpacing w:val="0"/>
        <w:rPr/>
      </w:pPr>
      <w:r w:rsidDel="00000000" w:rsidR="00000000" w:rsidRPr="00000000">
        <w:rPr>
          <w:rtl w:val="0"/>
        </w:rPr>
      </w:r>
    </w:p>
    <w:tbl>
      <w:tblPr>
        <w:tblStyle w:val="Table3"/>
        <w:tblW w:w="924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48"/>
        <w:gridCol w:w="1095"/>
        <w:gridCol w:w="1276"/>
        <w:gridCol w:w="1785"/>
        <w:gridCol w:w="3240"/>
        <w:tblGridChange w:id="0">
          <w:tblGrid>
            <w:gridCol w:w="1848"/>
            <w:gridCol w:w="1095"/>
            <w:gridCol w:w="1276"/>
            <w:gridCol w:w="1785"/>
            <w:gridCol w:w="3240"/>
          </w:tblGrid>
        </w:tblGridChange>
      </w:tblGrid>
      <w:tr>
        <w:tc>
          <w:tcPr/>
          <w:p w:rsidR="00000000" w:rsidDel="00000000" w:rsidP="00000000" w:rsidRDefault="00000000" w:rsidRPr="00000000" w14:paraId="0000015B">
            <w:pPr>
              <w:contextualSpacing w:val="0"/>
              <w:rPr/>
            </w:pPr>
            <w:r w:rsidDel="00000000" w:rsidR="00000000" w:rsidRPr="00000000">
              <w:rPr>
                <w:b w:val="1"/>
                <w:rtl w:val="0"/>
              </w:rPr>
              <w:t xml:space="preserve">Code</w:t>
            </w:r>
            <w:r w:rsidDel="00000000" w:rsidR="00000000" w:rsidRPr="00000000">
              <w:rPr>
                <w:rtl w:val="0"/>
              </w:rPr>
            </w:r>
          </w:p>
        </w:tc>
        <w:tc>
          <w:tcPr/>
          <w:p w:rsidR="00000000" w:rsidDel="00000000" w:rsidP="00000000" w:rsidRDefault="00000000" w:rsidRPr="00000000" w14:paraId="0000015C">
            <w:pPr>
              <w:contextualSpacing w:val="0"/>
              <w:rPr/>
            </w:pPr>
            <w:r w:rsidDel="00000000" w:rsidR="00000000" w:rsidRPr="00000000">
              <w:rPr>
                <w:b w:val="1"/>
                <w:rtl w:val="0"/>
              </w:rPr>
              <w:t xml:space="preserve">δ</w:t>
            </w:r>
            <w:r w:rsidDel="00000000" w:rsidR="00000000" w:rsidRPr="00000000">
              <w:rPr>
                <w:b w:val="1"/>
                <w:sz w:val="12"/>
                <w:szCs w:val="12"/>
                <w:rtl w:val="0"/>
              </w:rPr>
              <w:t xml:space="preserve">13</w:t>
            </w:r>
            <w:r w:rsidDel="00000000" w:rsidR="00000000" w:rsidRPr="00000000">
              <w:rPr>
                <w:b w:val="1"/>
                <w:rtl w:val="0"/>
              </w:rPr>
              <w:t xml:space="preserve">C</w:t>
            </w:r>
            <w:r w:rsidDel="00000000" w:rsidR="00000000" w:rsidRPr="00000000">
              <w:rPr>
                <w:rtl w:val="0"/>
              </w:rPr>
            </w:r>
          </w:p>
        </w:tc>
        <w:tc>
          <w:tcPr/>
          <w:p w:rsidR="00000000" w:rsidDel="00000000" w:rsidP="00000000" w:rsidRDefault="00000000" w:rsidRPr="00000000" w14:paraId="0000015D">
            <w:pPr>
              <w:contextualSpacing w:val="0"/>
              <w:rPr/>
            </w:pPr>
            <w:r w:rsidDel="00000000" w:rsidR="00000000" w:rsidRPr="00000000">
              <w:rPr>
                <w:b w:val="1"/>
                <w:rtl w:val="0"/>
              </w:rPr>
              <w:t xml:space="preserve">C/N ratio</w:t>
            </w:r>
            <w:r w:rsidDel="00000000" w:rsidR="00000000" w:rsidRPr="00000000">
              <w:rPr>
                <w:rtl w:val="0"/>
              </w:rPr>
            </w:r>
          </w:p>
        </w:tc>
        <w:tc>
          <w:tcPr/>
          <w:p w:rsidR="00000000" w:rsidDel="00000000" w:rsidP="00000000" w:rsidRDefault="00000000" w:rsidRPr="00000000" w14:paraId="0000015E">
            <w:pPr>
              <w:contextualSpacing w:val="0"/>
              <w:rPr/>
            </w:pPr>
            <w:r w:rsidDel="00000000" w:rsidR="00000000" w:rsidRPr="00000000">
              <w:rPr>
                <w:b w:val="1"/>
                <w:rtl w:val="0"/>
              </w:rPr>
              <w:t xml:space="preserve">Radiocarbon Age BP</w:t>
            </w:r>
            <w:r w:rsidDel="00000000" w:rsidR="00000000" w:rsidRPr="00000000">
              <w:rPr>
                <w:rtl w:val="0"/>
              </w:rPr>
            </w:r>
          </w:p>
        </w:tc>
        <w:tc>
          <w:tcPr/>
          <w:p w:rsidR="00000000" w:rsidDel="00000000" w:rsidP="00000000" w:rsidRDefault="00000000" w:rsidRPr="00000000" w14:paraId="0000015F">
            <w:pPr>
              <w:contextualSpacing w:val="0"/>
              <w:rPr/>
            </w:pPr>
            <w:r w:rsidDel="00000000" w:rsidR="00000000" w:rsidRPr="00000000">
              <w:rPr>
                <w:b w:val="1"/>
                <w:rtl w:val="0"/>
              </w:rPr>
              <w:t xml:space="preserve">Cal. BC</w:t>
            </w:r>
            <w:r w:rsidDel="00000000" w:rsidR="00000000" w:rsidRPr="00000000">
              <w:rPr>
                <w:rtl w:val="0"/>
              </w:rPr>
            </w:r>
          </w:p>
        </w:tc>
      </w:tr>
      <w:tr>
        <w:tc>
          <w:tcPr/>
          <w:p w:rsidR="00000000" w:rsidDel="00000000" w:rsidP="00000000" w:rsidRDefault="00000000" w:rsidRPr="00000000" w14:paraId="00000160">
            <w:pPr>
              <w:contextualSpacing w:val="0"/>
              <w:rPr/>
            </w:pPr>
            <w:r w:rsidDel="00000000" w:rsidR="00000000" w:rsidRPr="00000000">
              <w:rPr>
                <w:rtl w:val="0"/>
              </w:rPr>
              <w:t xml:space="preserve">SUERC-65809 (GU39990)</w:t>
            </w:r>
          </w:p>
          <w:p w:rsidR="00000000" w:rsidDel="00000000" w:rsidP="00000000" w:rsidRDefault="00000000" w:rsidRPr="00000000" w14:paraId="00000161">
            <w:pPr>
              <w:contextualSpacing w:val="0"/>
              <w:rPr/>
            </w:pPr>
            <w:r w:rsidDel="00000000" w:rsidR="00000000" w:rsidRPr="00000000">
              <w:rPr>
                <w:rtl w:val="0"/>
              </w:rPr>
            </w:r>
          </w:p>
        </w:tc>
        <w:tc>
          <w:tcPr/>
          <w:p w:rsidR="00000000" w:rsidDel="00000000" w:rsidP="00000000" w:rsidRDefault="00000000" w:rsidRPr="00000000" w14:paraId="00000162">
            <w:pPr>
              <w:contextualSpacing w:val="0"/>
              <w:rPr/>
            </w:pPr>
            <w:r w:rsidDel="00000000" w:rsidR="00000000" w:rsidRPr="00000000">
              <w:rPr>
                <w:rtl w:val="0"/>
              </w:rPr>
              <w:t xml:space="preserve">-23.3 ‰</w:t>
            </w:r>
          </w:p>
        </w:tc>
        <w:tc>
          <w:tcPr/>
          <w:p w:rsidR="00000000" w:rsidDel="00000000" w:rsidP="00000000" w:rsidRDefault="00000000" w:rsidRPr="00000000" w14:paraId="00000163">
            <w:pPr>
              <w:contextualSpacing w:val="0"/>
              <w:rPr/>
            </w:pPr>
            <w:r w:rsidDel="00000000" w:rsidR="00000000" w:rsidRPr="00000000">
              <w:rPr>
                <w:rtl w:val="0"/>
              </w:rPr>
              <w:t xml:space="preserve">3.3</w:t>
            </w:r>
          </w:p>
          <w:p w:rsidR="00000000" w:rsidDel="00000000" w:rsidP="00000000" w:rsidRDefault="00000000" w:rsidRPr="00000000" w14:paraId="00000164">
            <w:pPr>
              <w:contextualSpacing w:val="0"/>
              <w:rPr/>
            </w:pPr>
            <w:r w:rsidDel="00000000" w:rsidR="00000000" w:rsidRPr="00000000">
              <w:rPr>
                <w:rtl w:val="0"/>
              </w:rPr>
            </w:r>
          </w:p>
        </w:tc>
        <w:tc>
          <w:tcPr/>
          <w:p w:rsidR="00000000" w:rsidDel="00000000" w:rsidP="00000000" w:rsidRDefault="00000000" w:rsidRPr="00000000" w14:paraId="00000165">
            <w:pPr>
              <w:contextualSpacing w:val="0"/>
              <w:rPr/>
            </w:pPr>
            <w:r w:rsidDel="00000000" w:rsidR="00000000" w:rsidRPr="00000000">
              <w:rPr>
                <w:rtl w:val="0"/>
              </w:rPr>
              <w:t xml:space="preserve">9531 ± 43</w:t>
            </w:r>
          </w:p>
        </w:tc>
        <w:tc>
          <w:tcPr/>
          <w:p w:rsidR="00000000" w:rsidDel="00000000" w:rsidP="00000000" w:rsidRDefault="00000000" w:rsidRPr="00000000" w14:paraId="00000166">
            <w:pPr>
              <w:contextualSpacing w:val="0"/>
              <w:rPr/>
            </w:pPr>
            <w:r w:rsidDel="00000000" w:rsidR="00000000" w:rsidRPr="00000000">
              <w:rPr>
                <w:rtl w:val="0"/>
              </w:rPr>
              <w:t xml:space="preserve">9138-8970 (45.3%)</w:t>
            </w:r>
          </w:p>
          <w:p w:rsidR="00000000" w:rsidDel="00000000" w:rsidP="00000000" w:rsidRDefault="00000000" w:rsidRPr="00000000" w14:paraId="00000167">
            <w:pPr>
              <w:contextualSpacing w:val="0"/>
              <w:rPr/>
            </w:pPr>
            <w:r w:rsidDel="00000000" w:rsidR="00000000" w:rsidRPr="00000000">
              <w:rPr>
                <w:rtl w:val="0"/>
              </w:rPr>
              <w:t xml:space="preserve">8945-8743 (50.1%)</w:t>
            </w:r>
          </w:p>
          <w:p w:rsidR="00000000" w:rsidDel="00000000" w:rsidP="00000000" w:rsidRDefault="00000000" w:rsidRPr="00000000" w14:paraId="00000168">
            <w:pPr>
              <w:contextualSpacing w:val="0"/>
              <w:rPr/>
            </w:pPr>
            <w:r w:rsidDel="00000000" w:rsidR="00000000" w:rsidRPr="00000000">
              <w:rPr>
                <w:rtl w:val="0"/>
              </w:rPr>
            </w:r>
          </w:p>
          <w:p w:rsidR="00000000" w:rsidDel="00000000" w:rsidP="00000000" w:rsidRDefault="00000000" w:rsidRPr="00000000" w14:paraId="00000169">
            <w:pPr>
              <w:contextualSpacing w:val="0"/>
              <w:rPr/>
            </w:pPr>
            <w:r w:rsidDel="00000000" w:rsidR="00000000" w:rsidRPr="00000000">
              <w:rPr>
                <w:rtl w:val="0"/>
              </w:rPr>
            </w:r>
          </w:p>
        </w:tc>
      </w:tr>
    </w:tbl>
    <w:p w:rsidR="00000000" w:rsidDel="00000000" w:rsidP="00000000" w:rsidRDefault="00000000" w:rsidRPr="00000000" w14:paraId="0000016A">
      <w:pPr>
        <w:contextualSpacing w:val="0"/>
        <w:rPr/>
      </w:pPr>
      <w:r w:rsidDel="00000000" w:rsidR="00000000" w:rsidRPr="00000000">
        <w:rPr>
          <w:rtl w:val="0"/>
        </w:rPr>
        <w:t xml:space="preserve">Table 3: Dates taken on the red deer bone found at Skipsea Withow.</w:t>
      </w:r>
    </w:p>
    <w:p w:rsidR="00000000" w:rsidDel="00000000" w:rsidP="00000000" w:rsidRDefault="00000000" w:rsidRPr="00000000" w14:paraId="0000016B">
      <w:pPr>
        <w:spacing w:line="276" w:lineRule="auto"/>
        <w:contextualSpacing w:val="0"/>
        <w:rPr/>
      </w:pPr>
      <w:r w:rsidDel="00000000" w:rsidR="00000000" w:rsidRPr="00000000">
        <w:rPr>
          <w:rtl w:val="0"/>
        </w:rPr>
      </w:r>
    </w:p>
    <w:p w:rsidR="00000000" w:rsidDel="00000000" w:rsidP="00000000" w:rsidRDefault="00000000" w:rsidRPr="00000000" w14:paraId="0000016C">
      <w:pPr>
        <w:contextualSpacing w:val="0"/>
        <w:rPr/>
      </w:pPr>
      <w:r w:rsidDel="00000000" w:rsidR="00000000" w:rsidRPr="00000000">
        <w:rPr>
          <w:rtl w:val="0"/>
        </w:rPr>
      </w:r>
    </w:p>
    <w:p w:rsidR="00000000" w:rsidDel="00000000" w:rsidP="00000000" w:rsidRDefault="00000000" w:rsidRPr="00000000" w14:paraId="0000016D">
      <w:pPr>
        <w:contextualSpacing w:val="0"/>
        <w:rPr/>
      </w:pPr>
      <w:r w:rsidDel="00000000" w:rsidR="00000000" w:rsidRPr="00000000">
        <w:rPr>
          <w:rtl w:val="0"/>
        </w:rPr>
      </w:r>
    </w:p>
    <w:sectPr>
      <w:pgSz w:h="16838" w:w="11906"/>
      <w:pgMar w:bottom="873" w:top="1327"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300" w:before="480" w:line="240" w:lineRule="auto"/>
      <w:ind w:left="432" w:right="0" w:hanging="432"/>
      <w:contextualSpacing w:val="0"/>
      <w:jc w:val="left"/>
    </w:pPr>
    <w:rPr>
      <w:rFonts w:ascii="Cambria" w:cs="Cambria" w:eastAsia="Cambria" w:hAnsi="Cambria"/>
      <w:b w:val="1"/>
      <w:i w:val="0"/>
      <w:smallCaps w:val="0"/>
      <w:strike w:val="0"/>
      <w:color w:val="003366"/>
      <w:sz w:val="28"/>
      <w:szCs w:val="28"/>
      <w:u w:val="non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60" w:before="240" w:line="240" w:lineRule="auto"/>
      <w:ind w:left="576" w:right="0" w:hanging="576"/>
      <w:contextualSpacing w:val="0"/>
      <w:jc w:val="left"/>
    </w:pPr>
    <w:rPr>
      <w:rFonts w:ascii="Cambria" w:cs="Cambria" w:eastAsia="Cambria" w:hAnsi="Cambria"/>
      <w:b w:val="1"/>
      <w:i w:val="0"/>
      <w:smallCaps w:val="0"/>
      <w:strike w:val="0"/>
      <w:color w:val="003366"/>
      <w:sz w:val="28"/>
      <w:szCs w:val="28"/>
      <w:u w:val="none"/>
      <w:shd w:fill="auto" w:val="clear"/>
      <w:vertAlign w:val="baseline"/>
    </w:rPr>
  </w:style>
  <w:style w:type="paragraph" w:styleId="Heading3">
    <w:name w:val="heading 3"/>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0" w:before="200" w:line="240" w:lineRule="auto"/>
      <w:ind w:left="720" w:right="0" w:hanging="720"/>
      <w:contextualSpacing w:val="0"/>
      <w:jc w:val="left"/>
    </w:pPr>
    <w:rPr>
      <w:rFonts w:ascii="Cambria" w:cs="Cambria" w:eastAsia="Cambria" w:hAnsi="Cambria"/>
      <w:b w:val="1"/>
      <w:i w:val="0"/>
      <w:smallCaps w:val="0"/>
      <w:strike w:val="0"/>
      <w:color w:val="333399"/>
      <w:sz w:val="24"/>
      <w:szCs w:val="24"/>
      <w:u w:val="none"/>
      <w:shd w:fill="auto" w:val="clear"/>
      <w:vertAlign w:val="baseline"/>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60" w:before="240" w:line="240" w:lineRule="auto"/>
      <w:ind w:left="864" w:right="0" w:hanging="864"/>
      <w:contextualSpacing w:val="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0" w:before="0" w:line="271" w:lineRule="auto"/>
      <w:ind w:left="1008" w:right="0" w:hanging="1008"/>
      <w:contextualSpacing w:val="0"/>
      <w:jc w:val="left"/>
    </w:pPr>
    <w:rPr>
      <w:rFonts w:ascii="Cambria" w:cs="Cambria" w:eastAsia="Cambria" w:hAnsi="Cambria"/>
      <w:b w:val="0"/>
      <w:i w:val="1"/>
      <w:smallCaps w:val="0"/>
      <w:strike w:val="0"/>
      <w:color w:val="000000"/>
      <w:sz w:val="24"/>
      <w:szCs w:val="24"/>
      <w:u w:val="none"/>
      <w:shd w:fill="auto" w:val="clear"/>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60" w:before="240" w:line="240" w:lineRule="auto"/>
      <w:ind w:left="1152" w:right="0" w:hanging="1152"/>
      <w:contextualSpacing w:val="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300" w:before="0" w:line="240" w:lineRule="auto"/>
      <w:ind w:left="0" w:right="0" w:firstLine="0"/>
      <w:contextualSpacing w:val="0"/>
      <w:jc w:val="left"/>
    </w:pPr>
    <w:rPr>
      <w:rFonts w:ascii="Cambria" w:cs="Cambria" w:eastAsia="Cambria" w:hAnsi="Cambria"/>
      <w:b w:val="0"/>
      <w:i w:val="0"/>
      <w:smallCaps w:val="0"/>
      <w:strike w:val="0"/>
      <w:color w:val="17365d"/>
      <w:sz w:val="52"/>
      <w:szCs w:val="52"/>
      <w:u w:val="none"/>
      <w:shd w:fill="auto" w:val="clear"/>
      <w:vertAlign w:val="baseline"/>
    </w:r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rPr>
      <w:rFonts w:ascii="Cambria" w:cs="Cambria" w:eastAsia="Cambria" w:hAnsi="Cambria"/>
      <w:b w:val="0"/>
      <w:i w:val="1"/>
      <w:smallCaps w:val="0"/>
      <w:strike w:val="0"/>
      <w:color w:val="4f81bd"/>
      <w:sz w:val="24"/>
      <w:szCs w:val="24"/>
      <w:u w:val="none"/>
      <w:shd w:fill="auto" w:val="clear"/>
      <w:vertAlign w:val="baseline"/>
    </w:rPr>
  </w:style>
  <w:style w:type="table" w:styleId="Table1">
    <w:basedOn w:val="TableNormal"/>
    <w:pPr>
      <w:contextualSpacing w:val="1"/>
    </w:pPr>
    <w:tblPr>
      <w:tblStyleRowBandSize w:val="1"/>
      <w:tblStyleColBandSize w:val="1"/>
      <w:tblCellMar>
        <w:top w:w="0.0" w:type="dxa"/>
        <w:left w:w="115.0" w:type="dxa"/>
        <w:bottom w:w="0.0" w:type="dxa"/>
        <w:right w:w="115.0" w:type="dxa"/>
      </w:tblCellMar>
    </w:tblPr>
  </w:style>
  <w:style w:type="table" w:styleId="Table2">
    <w:basedOn w:val="TableNormal"/>
    <w:pPr>
      <w:contextualSpacing w:val="1"/>
    </w:pPr>
    <w:tblPr>
      <w:tblStyleRowBandSize w:val="1"/>
      <w:tblStyleColBandSize w:val="1"/>
      <w:tblCellMar>
        <w:top w:w="0.0" w:type="dxa"/>
        <w:left w:w="115.0" w:type="dxa"/>
        <w:bottom w:w="0.0" w:type="dxa"/>
        <w:right w:w="115.0" w:type="dxa"/>
      </w:tblCellMar>
    </w:tblPr>
  </w:style>
  <w:style w:type="table" w:styleId="Table3">
    <w:basedOn w:val="TableNormal"/>
    <w:pPr>
      <w:contextualSpacing w:val="1"/>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paperpile.com/b/syGpMz/uG0P" TargetMode="External"/><Relationship Id="rId42" Type="http://schemas.openxmlformats.org/officeDocument/2006/relationships/hyperlink" Target="http://paperpile.com/b/syGpMz/uG0P" TargetMode="External"/><Relationship Id="rId41" Type="http://schemas.openxmlformats.org/officeDocument/2006/relationships/hyperlink" Target="http://paperpile.com/b/syGpMz/uG0P" TargetMode="External"/><Relationship Id="rId44" Type="http://schemas.openxmlformats.org/officeDocument/2006/relationships/hyperlink" Target="http://paperpile.com/b/syGpMz/rdPp" TargetMode="External"/><Relationship Id="rId43" Type="http://schemas.openxmlformats.org/officeDocument/2006/relationships/hyperlink" Target="http://paperpile.com/b/syGpMz/rdPp" TargetMode="External"/><Relationship Id="rId46" Type="http://schemas.openxmlformats.org/officeDocument/2006/relationships/image" Target="media/image18.png"/><Relationship Id="rId45" Type="http://schemas.openxmlformats.org/officeDocument/2006/relationships/hyperlink" Target="http://paperpile.com/b/syGpMz/rdPp"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t.schadla-hall@ucl.ac.uk" TargetMode="External"/><Relationship Id="rId48" Type="http://schemas.openxmlformats.org/officeDocument/2006/relationships/image" Target="media/image13.png"/><Relationship Id="rId47" Type="http://schemas.openxmlformats.org/officeDocument/2006/relationships/image" Target="media/image19.png"/><Relationship Id="rId49" Type="http://schemas.openxmlformats.org/officeDocument/2006/relationships/image" Target="media/image20.png"/><Relationship Id="rId5" Type="http://schemas.openxmlformats.org/officeDocument/2006/relationships/styles" Target="styles.xml"/><Relationship Id="rId6" Type="http://schemas.openxmlformats.org/officeDocument/2006/relationships/hyperlink" Target="mailto:SheilaCad@yahoo.co.uk" TargetMode="External"/><Relationship Id="rId7" Type="http://schemas.openxmlformats.org/officeDocument/2006/relationships/hyperlink" Target="mailto:becky.knight@york.ac.uk" TargetMode="External"/><Relationship Id="rId8" Type="http://schemas.openxmlformats.org/officeDocument/2006/relationships/hyperlink" Target="mailto:ben.elliott@york.ac.uk" TargetMode="External"/><Relationship Id="rId31" Type="http://schemas.openxmlformats.org/officeDocument/2006/relationships/hyperlink" Target="http://paperpile.com/b/syGpMz/Tr0C" TargetMode="External"/><Relationship Id="rId30" Type="http://schemas.openxmlformats.org/officeDocument/2006/relationships/hyperlink" Target="http://paperpile.com/b/syGpMz/8HUp" TargetMode="External"/><Relationship Id="rId33" Type="http://schemas.openxmlformats.org/officeDocument/2006/relationships/hyperlink" Target="http://paperpile.com/b/syGpMz/Tr0C" TargetMode="External"/><Relationship Id="rId32" Type="http://schemas.openxmlformats.org/officeDocument/2006/relationships/hyperlink" Target="http://paperpile.com/b/syGpMz/Tr0C" TargetMode="External"/><Relationship Id="rId35" Type="http://schemas.openxmlformats.org/officeDocument/2006/relationships/hyperlink" Target="http://paperpile.com/b/syGpMz/rKbn" TargetMode="External"/><Relationship Id="rId34" Type="http://schemas.openxmlformats.org/officeDocument/2006/relationships/hyperlink" Target="http://paperpile.com/b/syGpMz/rKbn" TargetMode="External"/><Relationship Id="rId37" Type="http://schemas.openxmlformats.org/officeDocument/2006/relationships/hyperlink" Target="http://paperpile.com/b/syGpMz/Z19L" TargetMode="External"/><Relationship Id="rId36" Type="http://schemas.openxmlformats.org/officeDocument/2006/relationships/hyperlink" Target="http://paperpile.com/b/syGpMz/rKbn" TargetMode="External"/><Relationship Id="rId39" Type="http://schemas.openxmlformats.org/officeDocument/2006/relationships/hyperlink" Target="http://paperpile.com/b/syGpMz/Z19L" TargetMode="External"/><Relationship Id="rId38" Type="http://schemas.openxmlformats.org/officeDocument/2006/relationships/hyperlink" Target="http://paperpile.com/b/syGpMz/Z19L" TargetMode="External"/><Relationship Id="rId20" Type="http://schemas.openxmlformats.org/officeDocument/2006/relationships/hyperlink" Target="http://paperpile.com/b/syGpMz/xQZu" TargetMode="External"/><Relationship Id="rId22" Type="http://schemas.openxmlformats.org/officeDocument/2006/relationships/hyperlink" Target="http://paperpile.com/b/syGpMz/bb9h" TargetMode="External"/><Relationship Id="rId21" Type="http://schemas.openxmlformats.org/officeDocument/2006/relationships/hyperlink" Target="http://paperpile.com/b/syGpMz/xQZu" TargetMode="External"/><Relationship Id="rId24" Type="http://schemas.openxmlformats.org/officeDocument/2006/relationships/hyperlink" Target="http://paperpile.com/b/syGpMz/bb9h" TargetMode="External"/><Relationship Id="rId23" Type="http://schemas.openxmlformats.org/officeDocument/2006/relationships/hyperlink" Target="http://paperpile.com/b/syGpMz/bb9h" TargetMode="External"/><Relationship Id="rId26" Type="http://schemas.openxmlformats.org/officeDocument/2006/relationships/hyperlink" Target="http://paperpile.com/b/syGpMz/FG3U" TargetMode="External"/><Relationship Id="rId25" Type="http://schemas.openxmlformats.org/officeDocument/2006/relationships/hyperlink" Target="http://paperpile.com/b/syGpMz/FG3U" TargetMode="External"/><Relationship Id="rId28" Type="http://schemas.openxmlformats.org/officeDocument/2006/relationships/hyperlink" Target="http://paperpile.com/b/syGpMz/8HUp" TargetMode="External"/><Relationship Id="rId27" Type="http://schemas.openxmlformats.org/officeDocument/2006/relationships/hyperlink" Target="http://paperpile.com/b/syGpMz/FG3U" TargetMode="External"/><Relationship Id="rId29" Type="http://schemas.openxmlformats.org/officeDocument/2006/relationships/hyperlink" Target="http://paperpile.com/b/syGpMz/8HUp" TargetMode="External"/><Relationship Id="rId51" Type="http://schemas.openxmlformats.org/officeDocument/2006/relationships/image" Target="media/image8.png"/><Relationship Id="rId50" Type="http://schemas.openxmlformats.org/officeDocument/2006/relationships/image" Target="media/image16.png"/><Relationship Id="rId53" Type="http://schemas.openxmlformats.org/officeDocument/2006/relationships/image" Target="media/image17.png"/><Relationship Id="rId52" Type="http://schemas.openxmlformats.org/officeDocument/2006/relationships/image" Target="media/image7.png"/><Relationship Id="rId11" Type="http://schemas.openxmlformats.org/officeDocument/2006/relationships/hyperlink" Target="mailto:nicky.milner@york.ac.uk" TargetMode="External"/><Relationship Id="rId55" Type="http://schemas.openxmlformats.org/officeDocument/2006/relationships/image" Target="media/image14.png"/><Relationship Id="rId10" Type="http://schemas.openxmlformats.org/officeDocument/2006/relationships/hyperlink" Target="mailto:harry.robson@york.ac.uk" TargetMode="External"/><Relationship Id="rId54" Type="http://schemas.openxmlformats.org/officeDocument/2006/relationships/image" Target="media/image9.png"/><Relationship Id="rId13" Type="http://schemas.openxmlformats.org/officeDocument/2006/relationships/hyperlink" Target="https://paperpile.com/c/syGpMz/Z19L" TargetMode="External"/><Relationship Id="rId12" Type="http://schemas.openxmlformats.org/officeDocument/2006/relationships/hyperlink" Target="https://paperpile.com/c/syGpMz/CHBk" TargetMode="External"/><Relationship Id="rId15" Type="http://schemas.openxmlformats.org/officeDocument/2006/relationships/hyperlink" Target="https://paperpile.com/c/syGpMz/FG3U+rKbn+rdPp" TargetMode="External"/><Relationship Id="rId14" Type="http://schemas.openxmlformats.org/officeDocument/2006/relationships/hyperlink" Target="https://paperpile.com/c/syGpMz/xQZu+8HUp+bb9h+Tr0C+rdPp+uG0P" TargetMode="External"/><Relationship Id="rId17" Type="http://schemas.openxmlformats.org/officeDocument/2006/relationships/hyperlink" Target="http://paperpile.com/b/syGpMz/CHBk" TargetMode="External"/><Relationship Id="rId16" Type="http://schemas.openxmlformats.org/officeDocument/2006/relationships/hyperlink" Target="http://paperpile.com/b/syGpMz/CHBk" TargetMode="External"/><Relationship Id="rId19" Type="http://schemas.openxmlformats.org/officeDocument/2006/relationships/hyperlink" Target="http://paperpile.com/b/syGpMz/xQZu" TargetMode="External"/><Relationship Id="rId18" Type="http://schemas.openxmlformats.org/officeDocument/2006/relationships/hyperlink" Target="http://paperpile.com/b/syGpMz/CHB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