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A932C" w14:textId="38306612" w:rsidR="00D83F0F" w:rsidRPr="00D83F0F" w:rsidRDefault="00467D7A" w:rsidP="00D83F0F">
      <w:pPr>
        <w:pStyle w:val="Title1"/>
      </w:pPr>
      <w:r>
        <w:t xml:space="preserve">Insights into </w:t>
      </w:r>
      <w:r w:rsidR="00D83F0F" w:rsidRPr="00D83F0F">
        <w:t>Post-polymerisation Modification of Bio-based Unsaturated Itaconate and Fumarate Polyesters via Aza-Michael Addition: Understanding the Effects of C=C Isomerisation</w:t>
      </w:r>
    </w:p>
    <w:p w14:paraId="11DCB084" w14:textId="649FEBFD" w:rsidR="00F007F5" w:rsidRPr="00CB69C7" w:rsidRDefault="00B10E20" w:rsidP="00CB69C7">
      <w:pPr>
        <w:pStyle w:val="Authors"/>
      </w:pPr>
      <w:r w:rsidRPr="00CB69C7">
        <w:rPr>
          <w:noProof/>
          <w:lang w:eastAsia="en-GB"/>
        </w:rPr>
        <mc:AlternateContent>
          <mc:Choice Requires="wps">
            <w:drawing>
              <wp:anchor distT="180340" distB="0" distL="114300" distR="180340" simplePos="0" relativeHeight="251656704" behindDoc="0" locked="1" layoutInCell="1" allowOverlap="1" wp14:anchorId="08DC2F40" wp14:editId="6BC6F47D">
                <wp:simplePos x="0" y="0"/>
                <wp:positionH relativeFrom="column">
                  <wp:posOffset>-83820</wp:posOffset>
                </wp:positionH>
                <wp:positionV relativeFrom="page">
                  <wp:posOffset>8412480</wp:posOffset>
                </wp:positionV>
                <wp:extent cx="3150235" cy="13296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329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D5FF0" w14:textId="673131DF" w:rsidR="00E3273D" w:rsidRPr="00567B5A" w:rsidRDefault="00E3273D" w:rsidP="000A0CD0">
                            <w:pPr>
                              <w:pStyle w:val="Adress"/>
                              <w:pBdr>
                                <w:top w:val="single" w:sz="4" w:space="1" w:color="000000"/>
                              </w:pBdr>
                              <w:rPr>
                                <w:lang w:val="en-GB"/>
                              </w:rPr>
                            </w:pPr>
                            <w:r w:rsidRPr="0095126A">
                              <w:rPr>
                                <w:lang w:val="en-GB"/>
                              </w:rPr>
                              <w:t>[a]</w:t>
                            </w:r>
                            <w:r w:rsidRPr="0095126A">
                              <w:rPr>
                                <w:lang w:val="en-GB"/>
                              </w:rPr>
                              <w:tab/>
                            </w:r>
                            <w:r>
                              <w:rPr>
                                <w:lang w:val="en-GB"/>
                              </w:rPr>
                              <w:t xml:space="preserve">Dr </w:t>
                            </w:r>
                            <w:r w:rsidRPr="000A0CD0">
                              <w:t>T. J. Farmer,</w:t>
                            </w:r>
                            <w:r>
                              <w:rPr>
                                <w:vertAlign w:val="superscript"/>
                              </w:rPr>
                              <w:t xml:space="preserve"> </w:t>
                            </w:r>
                            <w:r>
                              <w:t xml:space="preserve">Dr </w:t>
                            </w:r>
                            <w:r w:rsidRPr="000A0CD0">
                              <w:t>D. J. Macquarrie,</w:t>
                            </w:r>
                            <w:r>
                              <w:rPr>
                                <w:vertAlign w:val="superscript"/>
                              </w:rPr>
                              <w:t xml:space="preserve"> </w:t>
                            </w:r>
                            <w:r>
                              <w:t>Dr J. W. Comerford, Dr</w:t>
                            </w:r>
                            <w:r w:rsidRPr="000A0CD0">
                              <w:t xml:space="preserve"> A. Pellis</w:t>
                            </w:r>
                            <w:r>
                              <w:t xml:space="preserve">, Prof </w:t>
                            </w:r>
                            <w:r w:rsidRPr="000A0CD0">
                              <w:t>J. H. Clark</w:t>
                            </w:r>
                            <w:r>
                              <w:rPr>
                                <w:lang w:val="en-GB"/>
                              </w:rPr>
                              <w:br/>
                            </w:r>
                            <w:r w:rsidRPr="000A0CD0">
                              <w:rPr>
                                <w:lang w:val="en-GB"/>
                              </w:rPr>
                              <w:t>Green Chemistry Centre of Excellence, Department of Chemistry, University of York, Heslington, York, United Kingdom, YO10 5DD</w:t>
                            </w:r>
                            <w:r w:rsidRPr="007E3A49">
                              <w:rPr>
                                <w:lang w:val="en-GB"/>
                              </w:rPr>
                              <w:br/>
                              <w:t>E-mail:</w:t>
                            </w:r>
                            <w:r w:rsidRPr="000A0CD0">
                              <w:rPr>
                                <w:color w:val="000000" w:themeColor="text1"/>
                                <w:lang w:val="en-GB"/>
                              </w:rPr>
                              <w:t xml:space="preserve"> </w:t>
                            </w:r>
                            <w:hyperlink r:id="rId7" w:history="1">
                              <w:r w:rsidRPr="000A0CD0">
                                <w:rPr>
                                  <w:rStyle w:val="Hyperlink"/>
                                  <w:color w:val="000000" w:themeColor="text1"/>
                                  <w:u w:val="none"/>
                                  <w:lang w:val="en-GB"/>
                                </w:rPr>
                                <w:t>thomas.farmer@york.ac.uk</w:t>
                              </w:r>
                            </w:hyperlink>
                          </w:p>
                          <w:p w14:paraId="32B66509" w14:textId="5C31750E" w:rsidR="00E3273D" w:rsidRPr="007E3A49" w:rsidRDefault="00E3273D" w:rsidP="00BF14BC">
                            <w:pPr>
                              <w:pStyle w:val="Footnote"/>
                            </w:pPr>
                            <w:r w:rsidRPr="007E3A49">
                              <w:tab/>
                            </w:r>
                            <w:r w:rsidRPr="004532F9">
                              <w:t>Supporting information</w:t>
                            </w:r>
                            <w:r>
                              <w:t xml:space="preserve"> (SI)</w:t>
                            </w:r>
                            <w:r w:rsidRPr="004532F9">
                              <w:t xml:space="preserve"> for this article is </w:t>
                            </w:r>
                            <w:r>
                              <w:t>given via a link at the end of the document.</w:t>
                            </w:r>
                            <w:r>
                              <w:rPr>
                                <w:color w:val="FF0000"/>
                              </w:rPr>
                              <w:t xml:space="preserve"> </w:t>
                            </w:r>
                            <w:r w:rsidRPr="00A1351B">
                              <w:t xml:space="preserve">SI contains additional analytical data; assessment of </w:t>
                            </w:r>
                            <w:r>
                              <w:t>tri</w:t>
                            </w:r>
                            <w:r w:rsidRPr="00A1351B">
                              <w:t>ethylamine as a catalyst; additional information for kinetic study; additional data for addition to fumarate; assessment of feasibility for solvent quench.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C2F40" id="_x0000_t202" coordsize="21600,21600" o:spt="202" path="m,l,21600r21600,l21600,xe">
                <v:stroke joinstyle="miter"/>
                <v:path gradientshapeok="t" o:connecttype="rect"/>
              </v:shapetype>
              <v:shape id="Text Box 30" o:spid="_x0000_s1026" type="#_x0000_t202" style="position:absolute;margin-left:-6.6pt;margin-top:662.4pt;width:248.05pt;height:104.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" stroked="f">
                <v:fill opacity="0"/>
                <v:textbox>
                  <w:txbxContent>
                    <w:p w14:paraId="67DD5FF0" w14:textId="673131DF" w:rsidR="00E3273D" w:rsidRPr="00567B5A" w:rsidRDefault="00E3273D" w:rsidP="000A0CD0">
                      <w:pPr>
                        <w:pStyle w:val="Adress"/>
                        <w:pBdr>
                          <w:top w:val="single" w:sz="4" w:space="1" w:color="000000"/>
                        </w:pBdr>
                        <w:rPr>
                          <w:lang w:val="en-GB"/>
                        </w:rPr>
                      </w:pPr>
                      <w:r w:rsidRPr="0095126A">
                        <w:rPr>
                          <w:lang w:val="en-GB"/>
                        </w:rPr>
                        <w:t>[a]</w:t>
                      </w:r>
                      <w:r w:rsidRPr="0095126A">
                        <w:rPr>
                          <w:lang w:val="en-GB"/>
                        </w:rPr>
                        <w:tab/>
                      </w:r>
                      <w:r>
                        <w:rPr>
                          <w:lang w:val="en-GB"/>
                        </w:rPr>
                        <w:t xml:space="preserve">Dr </w:t>
                      </w:r>
                      <w:r w:rsidRPr="000A0CD0">
                        <w:t>T. J. Farmer,</w:t>
                      </w:r>
                      <w:r>
                        <w:rPr>
                          <w:vertAlign w:val="superscript"/>
                        </w:rPr>
                        <w:t xml:space="preserve"> </w:t>
                      </w:r>
                      <w:r>
                        <w:t xml:space="preserve">Dr </w:t>
                      </w:r>
                      <w:r w:rsidRPr="000A0CD0">
                        <w:t>D. J. Macquarrie,</w:t>
                      </w:r>
                      <w:r>
                        <w:rPr>
                          <w:vertAlign w:val="superscript"/>
                        </w:rPr>
                        <w:t xml:space="preserve"> </w:t>
                      </w:r>
                      <w:r>
                        <w:t>Dr J. W. Comerford, Dr</w:t>
                      </w:r>
                      <w:r w:rsidRPr="000A0CD0">
                        <w:t xml:space="preserve"> A. Pellis</w:t>
                      </w:r>
                      <w:r>
                        <w:t xml:space="preserve">, Prof </w:t>
                      </w:r>
                      <w:r w:rsidRPr="000A0CD0">
                        <w:t>J. H. Clark</w:t>
                      </w:r>
                      <w:r>
                        <w:rPr>
                          <w:lang w:val="en-GB"/>
                        </w:rPr>
                        <w:br/>
                      </w:r>
                      <w:r w:rsidRPr="000A0CD0">
                        <w:rPr>
                          <w:lang w:val="en-GB"/>
                        </w:rPr>
                        <w:t>Green Chemistry Centre of Excellence, Department of Chemistry, University of York, Heslington, York, United Kingdom, YO10 5DD</w:t>
                      </w:r>
                      <w:r w:rsidRPr="007E3A49">
                        <w:rPr>
                          <w:lang w:val="en-GB"/>
                        </w:rPr>
                        <w:br/>
                        <w:t>E-mail:</w:t>
                      </w:r>
                      <w:r w:rsidRPr="000A0CD0">
                        <w:rPr>
                          <w:color w:val="000000" w:themeColor="text1"/>
                          <w:lang w:val="en-GB"/>
                        </w:rPr>
                        <w:t xml:space="preserve"> </w:t>
                      </w:r>
                      <w:hyperlink r:id="rId8" w:history="1">
                        <w:r w:rsidRPr="000A0CD0">
                          <w:rPr>
                            <w:rStyle w:val="Hyperlink"/>
                            <w:color w:val="000000" w:themeColor="text1"/>
                            <w:u w:val="none"/>
                            <w:lang w:val="en-GB"/>
                          </w:rPr>
                          <w:t>thomas.farmer@york.ac.uk</w:t>
                        </w:r>
                      </w:hyperlink>
                    </w:p>
                    <w:p w14:paraId="32B66509" w14:textId="5C31750E" w:rsidR="00E3273D" w:rsidRPr="007E3A49" w:rsidRDefault="00E3273D" w:rsidP="00BF14BC">
                      <w:pPr>
                        <w:pStyle w:val="Footnote"/>
                      </w:pPr>
                      <w:r w:rsidRPr="007E3A49">
                        <w:tab/>
                      </w:r>
                      <w:r w:rsidRPr="004532F9">
                        <w:t>Supporting information</w:t>
                      </w:r>
                      <w:r>
                        <w:t xml:space="preserve"> (SI)</w:t>
                      </w:r>
                      <w:r w:rsidRPr="004532F9">
                        <w:t xml:space="preserve"> for this article is </w:t>
                      </w:r>
                      <w:r>
                        <w:t>given via a link at the end of the document.</w:t>
                      </w:r>
                      <w:r>
                        <w:rPr>
                          <w:color w:val="FF0000"/>
                        </w:rPr>
                        <w:t xml:space="preserve"> </w:t>
                      </w:r>
                      <w:r w:rsidRPr="00A1351B">
                        <w:t xml:space="preserve">SI contains additional analytical data; assessment of </w:t>
                      </w:r>
                      <w:r>
                        <w:t>tri</w:t>
                      </w:r>
                      <w:r w:rsidRPr="00A1351B">
                        <w:t>ethylamine as a catalyst; additional information for kinetic study; additional data for addition to fumarate; assessment of feasibility for solvent quench.</w:t>
                      </w:r>
                    </w:p>
                  </w:txbxContent>
                </v:textbox>
                <w10:wrap type="square" side="right" anchory="page"/>
                <w10:anchorlock/>
              </v:shape>
            </w:pict>
          </mc:Fallback>
        </mc:AlternateContent>
      </w:r>
      <w:r w:rsidR="00CB69C7" w:rsidRPr="00CB69C7">
        <w:t xml:space="preserve"> T. J. Farmer</w:t>
      </w:r>
      <w:proofErr w:type="gramStart"/>
      <w:r w:rsidR="00CB69C7" w:rsidRPr="00CB69C7">
        <w:t>,</w:t>
      </w:r>
      <w:r w:rsidR="00CB69C7" w:rsidRPr="00CB69C7">
        <w:rPr>
          <w:vertAlign w:val="superscript"/>
        </w:rPr>
        <w:t>[</w:t>
      </w:r>
      <w:proofErr w:type="gramEnd"/>
      <w:r w:rsidR="00CB69C7" w:rsidRPr="00CB69C7">
        <w:rPr>
          <w:vertAlign w:val="superscript"/>
        </w:rPr>
        <w:t>a]</w:t>
      </w:r>
      <w:r w:rsidR="00CB69C7" w:rsidRPr="00CB69C7">
        <w:t xml:space="preserve">* D. J. </w:t>
      </w:r>
      <w:proofErr w:type="spellStart"/>
      <w:r w:rsidR="00CB69C7" w:rsidRPr="00CB69C7">
        <w:t>Macquarrie</w:t>
      </w:r>
      <w:proofErr w:type="spellEnd"/>
      <w:r w:rsidR="00CB69C7" w:rsidRPr="00CB69C7">
        <w:t>,</w:t>
      </w:r>
      <w:r w:rsidR="00CB69C7" w:rsidRPr="00CB69C7">
        <w:rPr>
          <w:vertAlign w:val="superscript"/>
        </w:rPr>
        <w:t>[a]</w:t>
      </w:r>
      <w:r w:rsidR="00CB69C7" w:rsidRPr="00CB69C7">
        <w:t xml:space="preserve"> J. W. </w:t>
      </w:r>
      <w:proofErr w:type="spellStart"/>
      <w:r w:rsidR="00CB69C7" w:rsidRPr="00CB69C7">
        <w:t>Comerford</w:t>
      </w:r>
      <w:proofErr w:type="spellEnd"/>
      <w:r w:rsidR="00CB69C7" w:rsidRPr="00CB69C7">
        <w:t>,</w:t>
      </w:r>
      <w:r w:rsidR="00CB69C7" w:rsidRPr="00CB69C7">
        <w:rPr>
          <w:vertAlign w:val="superscript"/>
        </w:rPr>
        <w:t>[a]</w:t>
      </w:r>
      <w:r w:rsidR="00CB69C7" w:rsidRPr="00CB69C7">
        <w:t xml:space="preserve"> A. </w:t>
      </w:r>
      <w:proofErr w:type="spellStart"/>
      <w:r w:rsidR="00CB69C7" w:rsidRPr="00CB69C7">
        <w:t>Pellis</w:t>
      </w:r>
      <w:proofErr w:type="spellEnd"/>
      <w:r w:rsidR="00CB69C7" w:rsidRPr="00CB69C7">
        <w:rPr>
          <w:vertAlign w:val="superscript"/>
        </w:rPr>
        <w:t>[a]</w:t>
      </w:r>
      <w:r w:rsidR="00CB69C7" w:rsidRPr="00CB69C7">
        <w:t xml:space="preserve"> and J. H. Clark</w:t>
      </w:r>
      <w:r w:rsidR="00CB69C7" w:rsidRPr="00CB69C7">
        <w:rPr>
          <w:vertAlign w:val="superscript"/>
        </w:rPr>
        <w:t>[a]</w:t>
      </w:r>
    </w:p>
    <w:p w14:paraId="5A6C6DE6" w14:textId="77777777" w:rsidR="00FA38C7" w:rsidRPr="005D1EBB" w:rsidRDefault="00FA38C7" w:rsidP="006D4F77">
      <w:pPr>
        <w:pStyle w:val="Dedication"/>
        <w:rPr>
          <w:lang w:val="en-US"/>
        </w:rPr>
        <w:sectPr w:rsidR="00FA38C7" w:rsidRPr="005D1EBB" w:rsidSect="0095126A">
          <w:headerReference w:type="even" r:id="rId9"/>
          <w:headerReference w:type="default" r:id="rId10"/>
          <w:footerReference w:type="even" r:id="rId11"/>
          <w:footerReference w:type="default" r:id="rId12"/>
          <w:headerReference w:type="first" r:id="rId13"/>
          <w:footerReference w:type="first" r:id="rId14"/>
          <w:pgSz w:w="11906" w:h="16838" w:code="9"/>
          <w:pgMar w:top="1134" w:right="936" w:bottom="1134" w:left="936" w:header="1021" w:footer="0" w:gutter="0"/>
          <w:cols w:space="425"/>
          <w:docGrid w:linePitch="360"/>
        </w:sectPr>
      </w:pPr>
    </w:p>
    <w:p w14:paraId="0CC1085E" w14:textId="4A2E30F2" w:rsidR="00AD78DA" w:rsidRPr="00E74B0B" w:rsidRDefault="00EF67B7" w:rsidP="00AD78DA">
      <w:pPr>
        <w:pStyle w:val="Abstract"/>
        <w:rPr>
          <w:shd w:val="clear" w:color="auto" w:fill="FFFFFF"/>
        </w:rPr>
      </w:pPr>
      <w:r>
        <w:rPr>
          <w:noProof/>
          <w:sz w:val="17"/>
          <w:lang w:val="en-US"/>
        </w:rPr>
        <w:object w:dxaOrig="1440" w:dyaOrig="1440" w14:anchorId="50582518">
          <v:shape id="_x0000_s1064" type="#_x0000_t75" style="position:absolute;left:0;text-align:left;margin-left:259.15pt;margin-top:197.05pt;width:243.6pt;height:105.6pt;z-index:251660800;mso-position-horizontal-relative:margin;mso-position-vertical-relative:margin">
            <v:imagedata r:id="rId15" o:title=""/>
            <w10:wrap type="square" anchorx="margin" anchory="margin"/>
          </v:shape>
          <o:OLEObject Type="Embed" ProgID="ChemDraw.Document.6.0" ShapeID="_x0000_s1064" DrawAspect="Content" ObjectID="_1589103327" r:id="rId16"/>
        </w:object>
      </w:r>
      <w:r w:rsidR="00591262" w:rsidRPr="002D5B99">
        <w:rPr>
          <w:b/>
          <w:lang w:val="en-US"/>
        </w:rPr>
        <w:t>Abstract:</w:t>
      </w:r>
      <w:r w:rsidR="00591262">
        <w:rPr>
          <w:lang w:val="en-US"/>
        </w:rPr>
        <w:t xml:space="preserve"> </w:t>
      </w:r>
      <w:r w:rsidR="00E74B0B">
        <w:rPr>
          <w:shd w:val="clear" w:color="auto" w:fill="FFFFFF"/>
        </w:rPr>
        <w:t xml:space="preserve">Development of renewable bio-based unsaturated polyesters is undergoing a renaissance, typified by the use of </w:t>
      </w:r>
      <w:proofErr w:type="spellStart"/>
      <w:r w:rsidR="00E74B0B">
        <w:rPr>
          <w:shd w:val="clear" w:color="auto" w:fill="FFFFFF"/>
        </w:rPr>
        <w:t>itaconate</w:t>
      </w:r>
      <w:proofErr w:type="spellEnd"/>
      <w:r w:rsidR="00E74B0B">
        <w:rPr>
          <w:shd w:val="clear" w:color="auto" w:fill="FFFFFF"/>
        </w:rPr>
        <w:t xml:space="preserve"> and fumarate monomers. The electron-deficient C=C bond found on the corresponding polyesters allows convenient post-polymerisation modification to give a wide range of polymer properties; this is notably effective for the addition of nucleophilic pendants. However, preservation of unsaturated functionality is blighted by two undesirable side-reactions, branching/cross-linking and C=C isomerisation. Herein, a tentative kinetic study of </w:t>
      </w:r>
      <w:proofErr w:type="spellStart"/>
      <w:r w:rsidR="00E74B0B">
        <w:rPr>
          <w:shd w:val="clear" w:color="auto" w:fill="FFFFFF"/>
        </w:rPr>
        <w:t>diethylamine</w:t>
      </w:r>
      <w:proofErr w:type="spellEnd"/>
      <w:r w:rsidR="00E74B0B">
        <w:rPr>
          <w:shd w:val="clear" w:color="auto" w:fill="FFFFFF"/>
        </w:rPr>
        <w:t xml:space="preserve"> addition to model </w:t>
      </w:r>
      <w:proofErr w:type="spellStart"/>
      <w:r w:rsidR="00E74B0B">
        <w:rPr>
          <w:shd w:val="clear" w:color="auto" w:fill="FFFFFF"/>
        </w:rPr>
        <w:t>itaconate</w:t>
      </w:r>
      <w:proofErr w:type="spellEnd"/>
      <w:r w:rsidR="00E74B0B">
        <w:rPr>
          <w:shd w:val="clear" w:color="auto" w:fill="FFFFFF"/>
        </w:rPr>
        <w:t xml:space="preserve"> and fumarate </w:t>
      </w:r>
      <w:proofErr w:type="spellStart"/>
      <w:r w:rsidR="00E74B0B">
        <w:rPr>
          <w:shd w:val="clear" w:color="auto" w:fill="FFFFFF"/>
        </w:rPr>
        <w:t>diesters</w:t>
      </w:r>
      <w:proofErr w:type="spellEnd"/>
      <w:r w:rsidR="00E74B0B">
        <w:rPr>
          <w:shd w:val="clear" w:color="auto" w:fill="FFFFFF"/>
        </w:rPr>
        <w:t xml:space="preserve"> highlights the significance of undesirable C=C isomerisation. In particular, it shows that reversible isomerisation from </w:t>
      </w:r>
      <w:proofErr w:type="spellStart"/>
      <w:r w:rsidR="00E74B0B">
        <w:rPr>
          <w:shd w:val="clear" w:color="auto" w:fill="FFFFFF"/>
        </w:rPr>
        <w:t>itaconate</w:t>
      </w:r>
      <w:proofErr w:type="spellEnd"/>
      <w:r w:rsidR="00E74B0B">
        <w:rPr>
          <w:shd w:val="clear" w:color="auto" w:fill="FFFFFF"/>
        </w:rPr>
        <w:t xml:space="preserve"> to </w:t>
      </w:r>
      <w:proofErr w:type="spellStart"/>
      <w:r w:rsidR="00E74B0B">
        <w:rPr>
          <w:shd w:val="clear" w:color="auto" w:fill="FFFFFF"/>
        </w:rPr>
        <w:t>mesaconate</w:t>
      </w:r>
      <w:proofErr w:type="spellEnd"/>
      <w:r w:rsidR="00E74B0B">
        <w:rPr>
          <w:shd w:val="clear" w:color="auto" w:fill="FFFFFF"/>
        </w:rPr>
        <w:t xml:space="preserve"> (a poor Michael acceptor) is in direct competition with </w:t>
      </w:r>
      <w:proofErr w:type="spellStart"/>
      <w:r w:rsidR="00E74B0B">
        <w:rPr>
          <w:shd w:val="clear" w:color="auto" w:fill="FFFFFF"/>
        </w:rPr>
        <w:t>aza</w:t>
      </w:r>
      <w:proofErr w:type="spellEnd"/>
      <w:r w:rsidR="00E74B0B">
        <w:rPr>
          <w:shd w:val="clear" w:color="auto" w:fill="FFFFFF"/>
        </w:rPr>
        <w:t xml:space="preserve">-Michael addition, where the amine Michael donor acts as an isomerisation catalyst. We postulate that undesired formation of </w:t>
      </w:r>
      <w:proofErr w:type="spellStart"/>
      <w:r w:rsidR="00E74B0B">
        <w:rPr>
          <w:shd w:val="clear" w:color="auto" w:fill="FFFFFF"/>
        </w:rPr>
        <w:t>mesaconate</w:t>
      </w:r>
      <w:proofErr w:type="spellEnd"/>
      <w:r w:rsidR="00E74B0B">
        <w:rPr>
          <w:shd w:val="clear" w:color="auto" w:fill="FFFFFF"/>
        </w:rPr>
        <w:t xml:space="preserve"> is responsible for the long</w:t>
      </w:r>
      <w:r w:rsidR="00E74B0B" w:rsidRPr="00985E19">
        <w:rPr>
          <w:shd w:val="clear" w:color="auto" w:fill="FFFFFF"/>
        </w:rPr>
        <w:t xml:space="preserve"> reaction times </w:t>
      </w:r>
      <w:r w:rsidR="00E74B0B">
        <w:rPr>
          <w:shd w:val="clear" w:color="auto" w:fill="FFFFFF"/>
        </w:rPr>
        <w:t xml:space="preserve">previously reported for </w:t>
      </w:r>
      <w:proofErr w:type="spellStart"/>
      <w:r w:rsidR="00E74B0B" w:rsidRPr="00985E19">
        <w:rPr>
          <w:shd w:val="clear" w:color="auto" w:fill="FFFFFF"/>
        </w:rPr>
        <w:t>itaconate</w:t>
      </w:r>
      <w:proofErr w:type="spellEnd"/>
      <w:r w:rsidR="00E74B0B" w:rsidRPr="00985E19">
        <w:rPr>
          <w:shd w:val="clear" w:color="auto" w:fill="FFFFFF"/>
        </w:rPr>
        <w:t xml:space="preserve"> </w:t>
      </w:r>
      <w:r w:rsidR="00E74B0B">
        <w:rPr>
          <w:shd w:val="clear" w:color="auto" w:fill="FFFFFF"/>
        </w:rPr>
        <w:t xml:space="preserve">polyester </w:t>
      </w:r>
      <w:r w:rsidR="00E74B0B" w:rsidRPr="00985E19">
        <w:rPr>
          <w:shd w:val="clear" w:color="auto" w:fill="FFFFFF"/>
        </w:rPr>
        <w:t>p</w:t>
      </w:r>
      <w:r w:rsidR="00E74B0B">
        <w:rPr>
          <w:shd w:val="clear" w:color="auto" w:fill="FFFFFF"/>
        </w:rPr>
        <w:t xml:space="preserve">ost-polymerisation modification. </w:t>
      </w:r>
      <w:r w:rsidR="00C02AB8" w:rsidRPr="00C02AB8">
        <w:rPr>
          <w:shd w:val="clear" w:color="auto" w:fill="FFFFFF"/>
        </w:rPr>
        <w:t>This study illustrates the pressing need to overcome this issue of C=C</w:t>
      </w:r>
      <w:r w:rsidR="003E7E84">
        <w:rPr>
          <w:shd w:val="clear" w:color="auto" w:fill="FFFFFF"/>
        </w:rPr>
        <w:t xml:space="preserve"> </w:t>
      </w:r>
      <w:r w:rsidR="003E7E84" w:rsidRPr="00F96419">
        <w:rPr>
          <w:shd w:val="clear" w:color="auto" w:fill="FFFFFF"/>
        </w:rPr>
        <w:t>isomerisation</w:t>
      </w:r>
      <w:r w:rsidR="00C02AB8" w:rsidRPr="00C02AB8">
        <w:rPr>
          <w:shd w:val="clear" w:color="auto" w:fill="FFFFFF"/>
        </w:rPr>
        <w:t xml:space="preserve"> to enhance post-polymerisation modification of bio-based unsaturated polyesters.</w:t>
      </w:r>
    </w:p>
    <w:p w14:paraId="646AC2A2" w14:textId="77777777" w:rsidR="00AD78DA" w:rsidRDefault="00AD78DA" w:rsidP="00C00B45">
      <w:pPr>
        <w:pStyle w:val="H1"/>
      </w:pPr>
      <w:r>
        <w:t>Introduction</w:t>
      </w:r>
    </w:p>
    <w:p w14:paraId="23AD2329" w14:textId="35E2A49A" w:rsidR="00F76D4A" w:rsidRPr="00067DEF" w:rsidRDefault="00CB69C7" w:rsidP="00067DEF">
      <w:pPr>
        <w:pStyle w:val="P1"/>
        <w:rPr>
          <w:lang w:val="en-GB"/>
        </w:rPr>
      </w:pPr>
      <w:r w:rsidRPr="00CB69C7">
        <w:rPr>
          <w:lang w:val="en-GB"/>
        </w:rPr>
        <w:t>Over the last decade there has been a growing interest in the utilisation of bio-derived platform molecules for the synthesis of higher value products, triggered for the most part by the US DOE report on Top Bio-derived Building Block Molecules</w:t>
      </w:r>
      <w:proofErr w:type="gramStart"/>
      <w:r w:rsidRPr="00CB69C7">
        <w:rPr>
          <w:lang w:val="en-GB"/>
        </w:rPr>
        <w:t>.</w:t>
      </w:r>
      <w:r w:rsidR="00E920BC">
        <w:rPr>
          <w:vertAlign w:val="superscript"/>
          <w:lang w:val="en-GB"/>
        </w:rPr>
        <w:t>[</w:t>
      </w:r>
      <w:proofErr w:type="gramEnd"/>
      <w:r w:rsidR="00E920BC">
        <w:rPr>
          <w:vertAlign w:val="superscript"/>
          <w:lang w:val="en-GB"/>
        </w:rPr>
        <w:t>1</w:t>
      </w:r>
      <w:r w:rsidR="00E920BC" w:rsidRPr="00E920BC">
        <w:rPr>
          <w:vertAlign w:val="superscript"/>
          <w:lang w:val="en-GB"/>
        </w:rPr>
        <w:t>]</w:t>
      </w:r>
      <w:r w:rsidRPr="00CB69C7">
        <w:rPr>
          <w:lang w:val="en-GB"/>
        </w:rPr>
        <w:t xml:space="preserve"> An area of the particular interest has been in the field of polymer synthesis using these sustainably sourced building blocks as monomers or monomer precursors. Plastics such as poly(lactic acid) (PLA), poly(butylene succinate) (PBS) and poly(ethylene </w:t>
      </w:r>
      <w:proofErr w:type="spellStart"/>
      <w:r w:rsidRPr="00CB69C7">
        <w:rPr>
          <w:lang w:val="en-GB"/>
        </w:rPr>
        <w:t>furanoate</w:t>
      </w:r>
      <w:proofErr w:type="spellEnd"/>
      <w:r w:rsidRPr="00CB69C7">
        <w:rPr>
          <w:lang w:val="en-GB"/>
        </w:rPr>
        <w:t>) (PEF) demonstrate how polymers with favourable properties can be partly or wholly derived from platform molecules.</w:t>
      </w:r>
      <w:r w:rsidR="00E920BC" w:rsidRPr="00E920BC">
        <w:rPr>
          <w:vertAlign w:val="superscript"/>
          <w:lang w:val="en-GB"/>
        </w:rPr>
        <w:t>[2]</w:t>
      </w:r>
      <w:r w:rsidRPr="00CB69C7">
        <w:rPr>
          <w:lang w:val="en-GB"/>
        </w:rPr>
        <w:t xml:space="preserve"> More recently there has been increasing focus towards </w:t>
      </w:r>
      <w:proofErr w:type="spellStart"/>
      <w:r w:rsidRPr="00CB69C7">
        <w:rPr>
          <w:lang w:val="en-GB"/>
        </w:rPr>
        <w:t>functionalisable</w:t>
      </w:r>
      <w:proofErr w:type="spellEnd"/>
      <w:r w:rsidRPr="00CB69C7">
        <w:rPr>
          <w:lang w:val="en-GB"/>
        </w:rPr>
        <w:t xml:space="preserve"> polymers and in particular, the polymerisation of common platform molecules, </w:t>
      </w:r>
      <w:proofErr w:type="spellStart"/>
      <w:r w:rsidRPr="00CB69C7">
        <w:rPr>
          <w:lang w:val="en-GB"/>
        </w:rPr>
        <w:t>itaconic</w:t>
      </w:r>
      <w:proofErr w:type="spellEnd"/>
      <w:r w:rsidRPr="00CB69C7">
        <w:rPr>
          <w:lang w:val="en-GB"/>
        </w:rPr>
        <w:t xml:space="preserve"> acid and </w:t>
      </w:r>
      <w:proofErr w:type="spellStart"/>
      <w:r w:rsidRPr="00CB69C7">
        <w:rPr>
          <w:lang w:val="en-GB"/>
        </w:rPr>
        <w:t>fumaric</w:t>
      </w:r>
      <w:proofErr w:type="spellEnd"/>
      <w:r w:rsidRPr="00CB69C7">
        <w:rPr>
          <w:lang w:val="en-GB"/>
        </w:rPr>
        <w:t xml:space="preserve"> acid with a range of diols such as 1,2-ethanediol, 1,2-propandiol, 1,3-propandiol, 1,4-butanediol and glycerol and to produce novel, 100% bio-derived </w:t>
      </w:r>
      <w:r w:rsidRPr="00CB69C7">
        <w:rPr>
          <w:lang w:val="en-GB"/>
        </w:rPr>
        <w:t>unsaturated polyester resins (UPEs)</w:t>
      </w:r>
      <w:r>
        <w:rPr>
          <w:lang w:val="en-GB"/>
        </w:rPr>
        <w:t>.</w:t>
      </w:r>
      <w:r w:rsidR="00F04365" w:rsidRPr="00F04365">
        <w:rPr>
          <w:vertAlign w:val="superscript"/>
          <w:lang w:val="en-GB"/>
        </w:rPr>
        <w:t>[3]</w:t>
      </w:r>
      <w:r w:rsidR="00F04365">
        <w:rPr>
          <w:lang w:val="en-GB"/>
        </w:rPr>
        <w:t xml:space="preserve"> </w:t>
      </w:r>
      <w:r w:rsidRPr="00CB69C7">
        <w:rPr>
          <w:lang w:val="en-GB"/>
        </w:rPr>
        <w:t>Synthesis of these polymers typically employs well-established melt polymerisation methods along with well-known metal-centred catalysts (</w:t>
      </w:r>
      <w:proofErr w:type="spellStart"/>
      <w:r w:rsidRPr="00CB69C7">
        <w:rPr>
          <w:lang w:val="en-GB"/>
        </w:rPr>
        <w:t>Ti</w:t>
      </w:r>
      <w:proofErr w:type="spellEnd"/>
      <w:r w:rsidRPr="00CB69C7">
        <w:rPr>
          <w:lang w:val="en-GB"/>
        </w:rPr>
        <w:t>, Al, Sn, Zn</w:t>
      </w:r>
      <w:r w:rsidR="00F04365">
        <w:rPr>
          <w:lang w:val="en-GB"/>
        </w:rPr>
        <w:t>).</w:t>
      </w:r>
      <w:r w:rsidR="00F04365" w:rsidRPr="00F04365">
        <w:rPr>
          <w:vertAlign w:val="superscript"/>
          <w:lang w:val="en-GB"/>
        </w:rPr>
        <w:t>[4]</w:t>
      </w:r>
      <w:r w:rsidR="00F04365">
        <w:rPr>
          <w:lang w:val="en-GB"/>
        </w:rPr>
        <w:t xml:space="preserve"> </w:t>
      </w:r>
      <w:r w:rsidRPr="00CB69C7">
        <w:rPr>
          <w:lang w:val="en-GB"/>
        </w:rPr>
        <w:t xml:space="preserve">However, due to the unsaturated nature of the </w:t>
      </w:r>
      <w:proofErr w:type="spellStart"/>
      <w:r w:rsidRPr="00CB69C7">
        <w:rPr>
          <w:lang w:val="en-GB"/>
        </w:rPr>
        <w:t>dicarboxylates</w:t>
      </w:r>
      <w:proofErr w:type="spellEnd"/>
      <w:r w:rsidRPr="00CB69C7">
        <w:rPr>
          <w:lang w:val="en-GB"/>
        </w:rPr>
        <w:t xml:space="preserve">, they often undergo undesired side reactions such as isomerisation, radical cross-linking and </w:t>
      </w:r>
      <w:proofErr w:type="spellStart"/>
      <w:r w:rsidRPr="00CB69C7">
        <w:rPr>
          <w:lang w:val="en-GB"/>
        </w:rPr>
        <w:t>Ordelt</w:t>
      </w:r>
      <w:proofErr w:type="spellEnd"/>
      <w:r w:rsidRPr="00CB69C7">
        <w:rPr>
          <w:lang w:val="en-GB"/>
        </w:rPr>
        <w:t xml:space="preserve"> saturation (an </w:t>
      </w:r>
      <w:proofErr w:type="spellStart"/>
      <w:r w:rsidRPr="00CB69C7">
        <w:rPr>
          <w:lang w:val="en-GB"/>
        </w:rPr>
        <w:t>oxo</w:t>
      </w:r>
      <w:proofErr w:type="spellEnd"/>
      <w:r w:rsidRPr="00CB69C7">
        <w:rPr>
          <w:lang w:val="en-GB"/>
        </w:rPr>
        <w:t>-Michael addition, where an R-OH end-group attack the conjugated C=C through a β-addition, Scheme 1 C)</w:t>
      </w:r>
      <w:r>
        <w:rPr>
          <w:lang w:val="en-GB"/>
        </w:rPr>
        <w:t>.</w:t>
      </w:r>
      <w:r w:rsidR="00F04365" w:rsidRPr="00F04365">
        <w:rPr>
          <w:vertAlign w:val="superscript"/>
          <w:lang w:val="en-GB"/>
        </w:rPr>
        <w:t>[4a,4b]</w:t>
      </w:r>
      <w:r w:rsidRPr="00F04365">
        <w:rPr>
          <w:vertAlign w:val="superscript"/>
          <w:lang w:val="en-GB"/>
        </w:rPr>
        <w:t xml:space="preserve"> </w:t>
      </w:r>
    </w:p>
    <w:p w14:paraId="7A92D1C0" w14:textId="55178FC3" w:rsidR="00CB69C7" w:rsidRPr="00EA2859" w:rsidRDefault="00CB69C7" w:rsidP="00EA2859">
      <w:pPr>
        <w:pStyle w:val="P1"/>
        <w:rPr>
          <w:sz w:val="14"/>
        </w:rPr>
      </w:pPr>
      <w:r w:rsidRPr="00EA2859">
        <w:rPr>
          <w:b/>
          <w:sz w:val="14"/>
        </w:rPr>
        <w:t>Scheme 1.</w:t>
      </w:r>
      <w:r w:rsidR="00B10E20" w:rsidRPr="00EA2859">
        <w:rPr>
          <w:sz w:val="14"/>
        </w:rPr>
        <w:t xml:space="preserve"> Typical undesired side-reactions of bio-based unsaturated polyesters (UPEs) </w:t>
      </w:r>
      <w:r w:rsidR="00B10E20" w:rsidRPr="00EA2859">
        <w:rPr>
          <w:b/>
          <w:sz w:val="14"/>
        </w:rPr>
        <w:t>a</w:t>
      </w:r>
      <w:r w:rsidR="00B10E20" w:rsidRPr="00EA2859">
        <w:rPr>
          <w:sz w:val="14"/>
        </w:rPr>
        <w:t xml:space="preserve">) </w:t>
      </w:r>
      <w:proofErr w:type="spellStart"/>
      <w:r w:rsidR="00B10E20" w:rsidRPr="00EA2859">
        <w:rPr>
          <w:sz w:val="14"/>
        </w:rPr>
        <w:t>isomerisation</w:t>
      </w:r>
      <w:proofErr w:type="spellEnd"/>
      <w:r w:rsidR="00B10E20" w:rsidRPr="00EA2859">
        <w:rPr>
          <w:sz w:val="14"/>
        </w:rPr>
        <w:t xml:space="preserve"> of unsaturated unit, </w:t>
      </w:r>
      <w:r w:rsidR="00B10E20" w:rsidRPr="00EA2859">
        <w:rPr>
          <w:b/>
          <w:sz w:val="14"/>
        </w:rPr>
        <w:t>b</w:t>
      </w:r>
      <w:r w:rsidR="00B10E20" w:rsidRPr="00EA2859">
        <w:rPr>
          <w:sz w:val="14"/>
        </w:rPr>
        <w:t xml:space="preserve">) radical induced cross-linking via C=C, </w:t>
      </w:r>
      <w:r w:rsidR="00B10E20" w:rsidRPr="00EA2859">
        <w:rPr>
          <w:b/>
          <w:sz w:val="14"/>
        </w:rPr>
        <w:t>c</w:t>
      </w:r>
      <w:r w:rsidR="00B10E20" w:rsidRPr="00EA2859">
        <w:rPr>
          <w:sz w:val="14"/>
        </w:rPr>
        <w:t xml:space="preserve">) </w:t>
      </w:r>
      <w:proofErr w:type="spellStart"/>
      <w:r w:rsidR="00B10E20" w:rsidRPr="00EA2859">
        <w:rPr>
          <w:sz w:val="14"/>
        </w:rPr>
        <w:t>Ordelt</w:t>
      </w:r>
      <w:proofErr w:type="spellEnd"/>
      <w:r w:rsidR="00B10E20" w:rsidRPr="00EA2859">
        <w:rPr>
          <w:sz w:val="14"/>
        </w:rPr>
        <w:t xml:space="preserve"> saturation (</w:t>
      </w:r>
      <w:proofErr w:type="spellStart"/>
      <w:r w:rsidR="00B10E20" w:rsidRPr="00EA2859">
        <w:rPr>
          <w:sz w:val="14"/>
        </w:rPr>
        <w:t>oxo</w:t>
      </w:r>
      <w:proofErr w:type="spellEnd"/>
      <w:r w:rsidR="00B10E20" w:rsidRPr="00EA2859">
        <w:rPr>
          <w:sz w:val="14"/>
        </w:rPr>
        <w:t>-Michael addition of –OH end-group onto C=C) inducing crosslinking</w:t>
      </w:r>
      <w:r w:rsidRPr="00EA2859">
        <w:rPr>
          <w:sz w:val="14"/>
        </w:rPr>
        <w:t>.</w:t>
      </w:r>
    </w:p>
    <w:p w14:paraId="0022869E" w14:textId="77777777" w:rsidR="00EA2859" w:rsidRDefault="00EA2859" w:rsidP="00EA2859">
      <w:pPr>
        <w:pStyle w:val="P1"/>
      </w:pPr>
    </w:p>
    <w:p w14:paraId="287F3EA9" w14:textId="26AA355C" w:rsidR="00067DEF" w:rsidRPr="0009136A" w:rsidRDefault="00B10E20" w:rsidP="0009136A">
      <w:pPr>
        <w:pStyle w:val="P1"/>
        <w:rPr>
          <w:lang w:val="de-DE"/>
        </w:rPr>
      </w:pPr>
      <w:r w:rsidRPr="00B10E20">
        <w:rPr>
          <w:lang w:val="de-DE"/>
        </w:rPr>
        <w:t>Radical crosslinking for the most part can be quenched via the use</w:t>
      </w:r>
      <w:r w:rsidR="00F04365">
        <w:rPr>
          <w:lang w:val="de-DE"/>
        </w:rPr>
        <w:t xml:space="preserve"> of scavengers such as quinol</w:t>
      </w:r>
      <w:r w:rsidR="00F04365" w:rsidRPr="00F04365">
        <w:rPr>
          <w:vertAlign w:val="superscript"/>
          <w:lang w:val="de-DE"/>
        </w:rPr>
        <w:t>[4f]</w:t>
      </w:r>
      <w:r w:rsidR="00F04365">
        <w:rPr>
          <w:lang w:val="de-DE"/>
        </w:rPr>
        <w:t xml:space="preserve"> and 4-methoxyphenol,</w:t>
      </w:r>
      <w:r w:rsidR="00F04365" w:rsidRPr="00F04365">
        <w:rPr>
          <w:vertAlign w:val="superscript"/>
          <w:lang w:val="de-DE"/>
        </w:rPr>
        <w:t>[4b]</w:t>
      </w:r>
      <w:r w:rsidRPr="00B10E20">
        <w:rPr>
          <w:lang w:val="de-DE"/>
        </w:rPr>
        <w:t xml:space="preserve"> while significantly less has been done to limit Ordelt. This is largely due to the fact that typical acid catalysts used to promote the polytransesterification, also increases the ability of the conjugated C=C to act as a Michael acceptor to a hydroxyl end-group. A very recent study by Robert </w:t>
      </w:r>
      <w:r w:rsidRPr="00B10E20">
        <w:rPr>
          <w:i/>
          <w:lang w:val="de-DE"/>
        </w:rPr>
        <w:t>et al</w:t>
      </w:r>
      <w:r w:rsidRPr="00B10E20">
        <w:rPr>
          <w:lang w:val="de-DE"/>
        </w:rPr>
        <w:t>. found that Lewis acidic Zn(OAc)</w:t>
      </w:r>
      <w:r w:rsidRPr="00B10E20">
        <w:rPr>
          <w:vertAlign w:val="subscript"/>
          <w:lang w:val="de-DE"/>
        </w:rPr>
        <w:t>2</w:t>
      </w:r>
      <w:r w:rsidRPr="00B10E20">
        <w:rPr>
          <w:lang w:val="de-DE"/>
        </w:rPr>
        <w:t xml:space="preserve"> gave the lowest gelation, while Brønsted acid catalysts such as methanesulfonic acid made</w:t>
      </w:r>
      <w:r w:rsidR="00F04365">
        <w:rPr>
          <w:lang w:val="de-DE"/>
        </w:rPr>
        <w:t xml:space="preserve"> gelation considerably worse.</w:t>
      </w:r>
      <w:r w:rsidR="00F04365" w:rsidRPr="00F04365">
        <w:rPr>
          <w:vertAlign w:val="superscript"/>
          <w:lang w:val="de-DE"/>
        </w:rPr>
        <w:t>[4b]</w:t>
      </w:r>
      <w:r w:rsidR="00F04365">
        <w:rPr>
          <w:lang w:val="de-DE"/>
        </w:rPr>
        <w:t xml:space="preserve"> C</w:t>
      </w:r>
      <w:r w:rsidRPr="00B10E20">
        <w:rPr>
          <w:lang w:val="de-DE"/>
        </w:rPr>
        <w:t>rosslinking of itaconate UPEs tends to give soft, rubber like polymers suitable only for applications that do not require inherent strength such as coatings,</w:t>
      </w:r>
      <w:r w:rsidR="00F04365" w:rsidRPr="00783190">
        <w:rPr>
          <w:vertAlign w:val="superscript"/>
          <w:lang w:val="de-DE"/>
        </w:rPr>
        <w:t>[5]</w:t>
      </w:r>
      <w:r w:rsidRPr="00783190">
        <w:rPr>
          <w:vertAlign w:val="superscript"/>
          <w:lang w:val="de-DE"/>
        </w:rPr>
        <w:t xml:space="preserve"> </w:t>
      </w:r>
      <w:r w:rsidRPr="00B10E20">
        <w:rPr>
          <w:lang w:val="de-DE"/>
        </w:rPr>
        <w:t>shape memory polymers,</w:t>
      </w:r>
      <w:r w:rsidR="00F04365" w:rsidRPr="00783190">
        <w:rPr>
          <w:vertAlign w:val="superscript"/>
          <w:lang w:val="de-DE"/>
        </w:rPr>
        <w:t>[6]</w:t>
      </w:r>
      <w:r w:rsidRPr="00B10E20">
        <w:rPr>
          <w:lang w:val="de-DE"/>
        </w:rPr>
        <w:t xml:space="preserve"> elastomers,</w:t>
      </w:r>
      <w:r w:rsidR="00783190" w:rsidRPr="00783190">
        <w:rPr>
          <w:vertAlign w:val="superscript"/>
          <w:lang w:val="de-DE"/>
        </w:rPr>
        <w:t>[7]</w:t>
      </w:r>
      <w:r w:rsidRPr="00783190">
        <w:rPr>
          <w:vertAlign w:val="superscript"/>
          <w:lang w:val="de-DE"/>
        </w:rPr>
        <w:t xml:space="preserve"> </w:t>
      </w:r>
      <w:r w:rsidRPr="00B10E20">
        <w:rPr>
          <w:lang w:val="de-DE"/>
        </w:rPr>
        <w:t>composites</w:t>
      </w:r>
      <w:r w:rsidR="00783190" w:rsidRPr="00783190">
        <w:rPr>
          <w:vertAlign w:val="superscript"/>
          <w:lang w:val="de-DE"/>
        </w:rPr>
        <w:t>[4c]</w:t>
      </w:r>
      <w:r w:rsidRPr="00B10E20">
        <w:rPr>
          <w:lang w:val="de-DE"/>
        </w:rPr>
        <w:t xml:space="preserve"> and medical applications such as bio-erodible vaccine loaded hydrogels.</w:t>
      </w:r>
      <w:r w:rsidR="00783190" w:rsidRPr="00783190">
        <w:rPr>
          <w:vertAlign w:val="superscript"/>
          <w:lang w:val="de-DE"/>
        </w:rPr>
        <w:t>[8]</w:t>
      </w:r>
      <w:r w:rsidRPr="00783190">
        <w:rPr>
          <w:vertAlign w:val="superscript"/>
          <w:lang w:val="de-DE"/>
        </w:rPr>
        <w:t xml:space="preserve"> </w:t>
      </w:r>
      <w:r w:rsidRPr="00B10E20">
        <w:rPr>
          <w:lang w:val="de-DE"/>
        </w:rPr>
        <w:t>Branching and eventual cross-linking also limits the solubility of the resulting UPEs and this may affect downstream processing including formulation or post-polymerisation modification.</w:t>
      </w:r>
      <w:r w:rsidR="0009136A">
        <w:rPr>
          <w:lang w:val="de-DE"/>
        </w:rPr>
        <w:t xml:space="preserve"> </w:t>
      </w:r>
      <w:r w:rsidRPr="00B10E20">
        <w:t xml:space="preserve">Undesirable </w:t>
      </w:r>
      <w:proofErr w:type="spellStart"/>
      <w:r w:rsidRPr="00B10E20">
        <w:t>isomerisation</w:t>
      </w:r>
      <w:proofErr w:type="spellEnd"/>
      <w:r w:rsidRPr="00B10E20">
        <w:t xml:space="preserve"> of the C=C is also widely reported for UPEs of </w:t>
      </w:r>
      <w:proofErr w:type="spellStart"/>
      <w:r w:rsidRPr="00B10E20">
        <w:t>itaconate</w:t>
      </w:r>
      <w:proofErr w:type="spellEnd"/>
      <w:r w:rsidRPr="00B10E20">
        <w:t xml:space="preserve">, fumarate and maleate monomers, where the latter two can interchange between one another, (scheme 2, </w:t>
      </w:r>
      <w:r w:rsidRPr="00F76D4A">
        <w:rPr>
          <w:b/>
        </w:rPr>
        <w:t>A</w:t>
      </w:r>
      <w:r w:rsidRPr="00B10E20">
        <w:t xml:space="preserve">). In the case of </w:t>
      </w:r>
      <w:proofErr w:type="spellStart"/>
      <w:r w:rsidRPr="00B10E20">
        <w:t>itaconate</w:t>
      </w:r>
      <w:proofErr w:type="spellEnd"/>
      <w:r w:rsidRPr="00B10E20">
        <w:t xml:space="preserve"> containing polyesters, </w:t>
      </w:r>
      <w:proofErr w:type="spellStart"/>
      <w:r w:rsidRPr="00B10E20">
        <w:t>regioisomerisation</w:t>
      </w:r>
      <w:proofErr w:type="spellEnd"/>
      <w:r w:rsidRPr="00B10E20">
        <w:t xml:space="preserve"> results in the formation of </w:t>
      </w:r>
      <w:proofErr w:type="spellStart"/>
      <w:r w:rsidRPr="00B10E20">
        <w:t>mesaconate</w:t>
      </w:r>
      <w:proofErr w:type="spellEnd"/>
      <w:r w:rsidRPr="00B10E20">
        <w:t xml:space="preserve"> (major) and </w:t>
      </w:r>
      <w:proofErr w:type="spellStart"/>
      <w:r w:rsidRPr="00B10E20">
        <w:t>citraconate</w:t>
      </w:r>
      <w:proofErr w:type="spellEnd"/>
      <w:r w:rsidRPr="00B10E20">
        <w:t xml:space="preserve"> (minor) units, (scheme 2, </w:t>
      </w:r>
      <w:r w:rsidRPr="00F76D4A">
        <w:rPr>
          <w:b/>
        </w:rPr>
        <w:t>B</w:t>
      </w:r>
      <w:r w:rsidRPr="00B10E20">
        <w:t>). Formation of these regio-isomer units lead to greater complexity in the analysis of the polyesters, whilst also effecting reproducibility of the polymers final thermal and mechanical properties.</w:t>
      </w:r>
      <w:r w:rsidR="0009136A" w:rsidRPr="0009136A">
        <w:t xml:space="preserve"> </w:t>
      </w:r>
    </w:p>
    <w:p w14:paraId="161C83C0" w14:textId="06E33126" w:rsidR="00B10E20" w:rsidRPr="00EA2859" w:rsidRDefault="00EF67B7" w:rsidP="00EA2859">
      <w:pPr>
        <w:pStyle w:val="P1"/>
        <w:rPr>
          <w:sz w:val="14"/>
        </w:rPr>
      </w:pPr>
      <w:r>
        <w:rPr>
          <w:noProof/>
        </w:rPr>
        <w:lastRenderedPageBreak/>
        <w:object w:dxaOrig="1440" w:dyaOrig="1440" w14:anchorId="2A51032B">
          <v:shape id="_x0000_s1069" type="#_x0000_t75" style="position:absolute;left:0;text-align:left;margin-left:-.05pt;margin-top:3.75pt;width:243.6pt;height:219pt;z-index:251670016;mso-position-horizontal-relative:margin;mso-position-vertical-relative:margin">
            <v:imagedata r:id="rId17" o:title=""/>
            <w10:wrap type="square" anchorx="margin" anchory="margin"/>
          </v:shape>
          <o:OLEObject Type="Embed" ProgID="ChemDraw.Document.6.0" ShapeID="_x0000_s1069" DrawAspect="Content" ObjectID="_1589103328" r:id="rId18"/>
        </w:object>
      </w:r>
      <w:r w:rsidR="00B10E20" w:rsidRPr="00EA2859">
        <w:rPr>
          <w:b/>
          <w:sz w:val="14"/>
        </w:rPr>
        <w:t>Scheme 2.</w:t>
      </w:r>
      <w:r w:rsidR="00B10E20" w:rsidRPr="00EA2859">
        <w:rPr>
          <w:sz w:val="14"/>
        </w:rPr>
        <w:t xml:space="preserve"> </w:t>
      </w:r>
      <w:proofErr w:type="spellStart"/>
      <w:r w:rsidR="00B10E20" w:rsidRPr="00EA2859">
        <w:rPr>
          <w:sz w:val="14"/>
        </w:rPr>
        <w:t>Isomerisation</w:t>
      </w:r>
      <w:proofErr w:type="spellEnd"/>
      <w:r w:rsidR="00B10E20" w:rsidRPr="00EA2859">
        <w:rPr>
          <w:sz w:val="14"/>
        </w:rPr>
        <w:t xml:space="preserve"> between A) fumarate and maleate UPEs and B) </w:t>
      </w:r>
      <w:proofErr w:type="spellStart"/>
      <w:r w:rsidR="00B10E20" w:rsidRPr="00EA2859">
        <w:rPr>
          <w:sz w:val="14"/>
        </w:rPr>
        <w:t>itaconate</w:t>
      </w:r>
      <w:proofErr w:type="spellEnd"/>
      <w:r w:rsidR="00B10E20" w:rsidRPr="00EA2859">
        <w:rPr>
          <w:sz w:val="14"/>
        </w:rPr>
        <w:t xml:space="preserve"> and </w:t>
      </w:r>
      <w:proofErr w:type="spellStart"/>
      <w:r w:rsidR="00B10E20" w:rsidRPr="00EA2859">
        <w:rPr>
          <w:sz w:val="14"/>
        </w:rPr>
        <w:t>mesaconate</w:t>
      </w:r>
      <w:proofErr w:type="spellEnd"/>
      <w:r w:rsidR="00B10E20" w:rsidRPr="00EA2859">
        <w:rPr>
          <w:sz w:val="14"/>
        </w:rPr>
        <w:t>/</w:t>
      </w:r>
      <w:proofErr w:type="spellStart"/>
      <w:r w:rsidR="00B10E20" w:rsidRPr="00EA2859">
        <w:rPr>
          <w:sz w:val="14"/>
        </w:rPr>
        <w:t>citraconate</w:t>
      </w:r>
      <w:proofErr w:type="spellEnd"/>
      <w:r w:rsidR="00B10E20" w:rsidRPr="00EA2859">
        <w:rPr>
          <w:sz w:val="14"/>
        </w:rPr>
        <w:t xml:space="preserve"> UPEs.</w:t>
      </w:r>
    </w:p>
    <w:p w14:paraId="49E2EB92" w14:textId="776364D8" w:rsidR="00EA2859" w:rsidRDefault="00EA2859" w:rsidP="00EA2859">
      <w:pPr>
        <w:pStyle w:val="P1"/>
      </w:pPr>
    </w:p>
    <w:p w14:paraId="5EF728BA" w14:textId="40C0C6F6" w:rsidR="00B10E20" w:rsidRPr="00B10E20" w:rsidRDefault="00B10E20" w:rsidP="00EA2859">
      <w:pPr>
        <w:pStyle w:val="P1withoutIndendation"/>
      </w:pPr>
      <w:r w:rsidRPr="00B10E20">
        <w:t>Several studies report regioisomerisation of itaconate during polyester synthesis, ranging from &lt;10% (relative to itaconate) as described by Spavojevic (7%),</w:t>
      </w:r>
      <w:r w:rsidR="008D5699" w:rsidRPr="000D5B52">
        <w:rPr>
          <w:vertAlign w:val="superscript"/>
        </w:rPr>
        <w:t>[9]</w:t>
      </w:r>
      <w:r w:rsidRPr="000D5B52">
        <w:rPr>
          <w:vertAlign w:val="superscript"/>
        </w:rPr>
        <w:t xml:space="preserve"> </w:t>
      </w:r>
      <w:r w:rsidRPr="00B10E20">
        <w:t>Farmer (8%),</w:t>
      </w:r>
      <w:r w:rsidR="008D5699" w:rsidRPr="000D5B52">
        <w:rPr>
          <w:vertAlign w:val="superscript"/>
        </w:rPr>
        <w:t>[4a]</w:t>
      </w:r>
      <w:r w:rsidRPr="00B10E20">
        <w:t xml:space="preserve"> and Teramoto (9%),</w:t>
      </w:r>
      <w:r w:rsidR="000D5B52" w:rsidRPr="000D5B52">
        <w:rPr>
          <w:vertAlign w:val="superscript"/>
        </w:rPr>
        <w:t xml:space="preserve">[10] </w:t>
      </w:r>
      <w:r w:rsidRPr="00B10E20">
        <w:t>increasing up to nearly 60% in the Takasu’s protocol using itaconic anhydride and 1,2-epoxybutane with a magnesium ethoxide initiator.</w:t>
      </w:r>
      <w:r w:rsidR="008D5699" w:rsidRPr="000D5B52">
        <w:rPr>
          <w:vertAlign w:val="superscript"/>
        </w:rPr>
        <w:t>[11]</w:t>
      </w:r>
      <w:r w:rsidRPr="00B10E20">
        <w:t xml:space="preserve"> Regioisomerisation has additionally been observed to occur during addition of dicarbonyl pendants to free unsaturated sites; with an increasing ratio of mesaconate seen for high (&gt;75%) but not complete addition.</w:t>
      </w:r>
      <w:r w:rsidR="000D5B52" w:rsidRPr="000D5B52">
        <w:rPr>
          <w:vertAlign w:val="superscript"/>
        </w:rPr>
        <w:t>[12]</w:t>
      </w:r>
      <w:r w:rsidRPr="000D5B52">
        <w:rPr>
          <w:vertAlign w:val="superscript"/>
        </w:rPr>
        <w:t xml:space="preserve"> </w:t>
      </w:r>
      <w:r w:rsidRPr="00B10E20">
        <w:t>Indeed, several recent studies have demonstrated post-polymerisation modification (PPM) of bio-based UPEs, allowing these polyester backbones to be altered via facile Michael additions.</w:t>
      </w:r>
      <w:r w:rsidR="000D5B52" w:rsidRPr="000D5B52">
        <w:rPr>
          <w:vertAlign w:val="superscript"/>
        </w:rPr>
        <w:t>[3]</w:t>
      </w:r>
      <w:r w:rsidRPr="000D5B52">
        <w:rPr>
          <w:vertAlign w:val="superscript"/>
        </w:rPr>
        <w:t xml:space="preserve"> </w:t>
      </w:r>
      <w:r w:rsidRPr="00B10E20">
        <w:t>Examples now report the addition of thiols, amines and chelating 1,3-dicarbonyls to bio-based UPEs, resulting in polyesters with tailored properties and a wider range of potential applications.</w:t>
      </w:r>
      <w:r w:rsidR="00162F6B">
        <w:t>[</w:t>
      </w:r>
      <w:r w:rsidR="000D5B52">
        <w:t>4f,</w:t>
      </w:r>
      <w:r w:rsidR="00162F6B">
        <w:t>12,</w:t>
      </w:r>
      <w:r w:rsidR="000D5B52">
        <w:t>13]</w:t>
      </w:r>
      <w:r w:rsidRPr="00B10E20">
        <w:t xml:space="preserve"> However, PPM of highly crosslinked and isomerised UPEs is still problematic as the polymer needs to remain soluble during the addition whilst the isomerised units likely have differing rates of accepting the adduct. Intriguingly, in our previous investigations we observed that despite the itaconate UPEs containing isomerized mesaconate moieties (~7% relative to itaconate) prior to PPM, the eventual 100% pendanted polyesters only had a single constitutional β-substituted repeat unit.</w:t>
      </w:r>
      <w:r w:rsidR="00162F6B" w:rsidRPr="001D79FD">
        <w:rPr>
          <w:vertAlign w:val="superscript"/>
        </w:rPr>
        <w:t>[12]</w:t>
      </w:r>
      <w:r w:rsidR="001D79FD" w:rsidRPr="001D79FD">
        <w:rPr>
          <w:vertAlign w:val="superscript"/>
        </w:rPr>
        <w:t xml:space="preserve"> </w:t>
      </w:r>
      <w:r w:rsidRPr="00B10E20">
        <w:t xml:space="preserve">This implies that only the itaconate form is able to act as a Michael acceptor and the mesaconate must first isomerises back to itaconate prior to pendant addition. Although this observation has not been specifically described elsewhere it is clear from the other published studies that very long reaction times and large excesses of donor are commonplace, likely a result of the undesired isomerisation reducing significant the rate of reaction. Lv </w:t>
      </w:r>
      <w:r w:rsidRPr="00B10E20">
        <w:rPr>
          <w:i/>
        </w:rPr>
        <w:t>et al.</w:t>
      </w:r>
      <w:r w:rsidRPr="00B10E20">
        <w:t xml:space="preserve"> reported the need for 14-20 hours reaction time for addition of thiols and amines, though the Michael donors were used in a 15-time</w:t>
      </w:r>
      <w:r w:rsidR="001D79FD">
        <w:t>s molar excess.</w:t>
      </w:r>
      <w:r w:rsidR="001D79FD" w:rsidRPr="001D79FD">
        <w:rPr>
          <w:vertAlign w:val="superscript"/>
        </w:rPr>
        <w:t xml:space="preserve">[13] </w:t>
      </w:r>
      <w:r w:rsidRPr="00B10E20">
        <w:t>Ramakrishnan reported the need for 3 days for the addition of both thiols and amines to their poly(dodecyl itaconate) UPEs,</w:t>
      </w:r>
      <w:r w:rsidR="001D79FD" w:rsidRPr="001D79FD">
        <w:rPr>
          <w:vertAlign w:val="superscript"/>
        </w:rPr>
        <w:t xml:space="preserve">[4f] </w:t>
      </w:r>
      <w:r w:rsidR="001D79FD">
        <w:t>w</w:t>
      </w:r>
      <w:r w:rsidRPr="00B10E20">
        <w:t xml:space="preserve">hile Meier suggested their thio-Michael additions ran overnight, using a 5-times molar </w:t>
      </w:r>
      <w:r w:rsidRPr="00B10E20">
        <w:t>excess of donor and included the 10</w:t>
      </w:r>
      <w:r w:rsidR="001D79FD">
        <w:t>%mol hexylamine as a catalyst.</w:t>
      </w:r>
      <w:r w:rsidR="00575627">
        <w:rPr>
          <w:vertAlign w:val="superscript"/>
        </w:rPr>
        <w:t>[4e</w:t>
      </w:r>
      <w:r w:rsidR="001D79FD" w:rsidRPr="001D79FD">
        <w:rPr>
          <w:vertAlign w:val="superscript"/>
        </w:rPr>
        <w:t>]</w:t>
      </w:r>
    </w:p>
    <w:p w14:paraId="4AE24874" w14:textId="767BFFFF" w:rsidR="006D4F77" w:rsidRPr="005D1EBB" w:rsidRDefault="00B10E20" w:rsidP="00F76D4A">
      <w:pPr>
        <w:pStyle w:val="P1withIndendation"/>
      </w:pPr>
      <w:r w:rsidRPr="00B10E20">
        <w:tab/>
        <w:t xml:space="preserve">Clearly, there remains a lack of understanding as to the degree of isomerisation occurring in the synthesis and PPM of </w:t>
      </w:r>
      <w:proofErr w:type="spellStart"/>
      <w:r w:rsidRPr="00B10E20">
        <w:t>itaconate</w:t>
      </w:r>
      <w:proofErr w:type="spellEnd"/>
      <w:r w:rsidRPr="00B10E20">
        <w:t xml:space="preserve"> and fumarate based polymers, as well as the change in equilibrium between the different isomers. This is despite the fact that the isomerisation must clearly effect the rate at which the addition can take place during PPM. Initial efforts have been made to overcome cross-linking and isomerisation via the use of enzymes under milder reaction conditions, although it was found that 1</w:t>
      </w:r>
      <w:proofErr w:type="gramStart"/>
      <w:r w:rsidRPr="00B10E20">
        <w:t>,4</w:t>
      </w:r>
      <w:proofErr w:type="gramEnd"/>
      <w:r w:rsidRPr="00B10E20">
        <w:t>-butanediol was an unsuitable monomer, and instead a more rigid cyclic diol was required fo</w:t>
      </w:r>
      <w:r w:rsidR="001D79FD">
        <w:t xml:space="preserve">r successful </w:t>
      </w:r>
      <w:proofErr w:type="spellStart"/>
      <w:r w:rsidR="001D79FD">
        <w:t>oligomerisation</w:t>
      </w:r>
      <w:proofErr w:type="spellEnd"/>
      <w:r w:rsidR="001D79FD">
        <w:t>.</w:t>
      </w:r>
      <w:r w:rsidR="001D79FD" w:rsidRPr="001D79FD">
        <w:rPr>
          <w:vertAlign w:val="superscript"/>
        </w:rPr>
        <w:t>[14]</w:t>
      </w:r>
      <w:r w:rsidRPr="001D79FD">
        <w:rPr>
          <w:vertAlign w:val="superscript"/>
        </w:rPr>
        <w:t xml:space="preserve"> </w:t>
      </w:r>
      <w:r w:rsidRPr="00B10E20">
        <w:t xml:space="preserve">As such there is evidently a need to overcome these issues in the </w:t>
      </w:r>
      <w:proofErr w:type="spellStart"/>
      <w:r w:rsidRPr="00B10E20">
        <w:t>chemocatalytic</w:t>
      </w:r>
      <w:proofErr w:type="spellEnd"/>
      <w:r w:rsidRPr="00B10E20">
        <w:t xml:space="preserve"> system. Herein we describe a series of experiments to gain a detailed insight into the reaction pathway and kinetics of the isomerisation and </w:t>
      </w:r>
      <w:proofErr w:type="spellStart"/>
      <w:r w:rsidRPr="00B10E20">
        <w:t>aza</w:t>
      </w:r>
      <w:proofErr w:type="spellEnd"/>
      <w:r w:rsidRPr="00B10E20">
        <w:t xml:space="preserve">-Michael addition steps. In doing so we aim to better understand how undesired side reactions can affect PPM of bio-based </w:t>
      </w:r>
      <w:proofErr w:type="spellStart"/>
      <w:r w:rsidRPr="00B10E20">
        <w:t>itaconate</w:t>
      </w:r>
      <w:proofErr w:type="spellEnd"/>
      <w:r w:rsidRPr="00B10E20">
        <w:t xml:space="preserve"> UPEs, and highlight the pressing need to develop strategies to suppress its occurrence.</w:t>
      </w:r>
    </w:p>
    <w:p w14:paraId="66025EA8" w14:textId="77777777" w:rsidR="00C00B45" w:rsidRDefault="00C00B45" w:rsidP="00C00B45">
      <w:pPr>
        <w:pStyle w:val="H1"/>
      </w:pPr>
      <w:r>
        <w:t>Results and Discussion</w:t>
      </w:r>
    </w:p>
    <w:p w14:paraId="3D990E42" w14:textId="31F03D8C" w:rsidR="00F76D4A" w:rsidRDefault="00F76D4A" w:rsidP="00F76D4A">
      <w:pPr>
        <w:pStyle w:val="P1"/>
        <w:rPr>
          <w:lang w:val="de-DE"/>
        </w:rPr>
      </w:pPr>
      <w:r w:rsidRPr="00F76D4A">
        <w:rPr>
          <w:lang w:val="de-DE"/>
        </w:rPr>
        <w:t>For simplicity a</w:t>
      </w:r>
      <w:r w:rsidR="0009136A">
        <w:rPr>
          <w:lang w:val="de-DE"/>
        </w:rPr>
        <w:t>nd convenience investigation</w:t>
      </w:r>
      <w:r w:rsidR="00C0070A">
        <w:rPr>
          <w:lang w:val="de-DE"/>
        </w:rPr>
        <w:t xml:space="preserve"> was</w:t>
      </w:r>
      <w:r w:rsidRPr="00F76D4A">
        <w:rPr>
          <w:lang w:val="de-DE"/>
        </w:rPr>
        <w:t xml:space="preserve"> initially focussed on a model reaction of an aza-Michael addition of diethylamine (DEA, </w:t>
      </w:r>
      <w:r w:rsidRPr="00F76D4A">
        <w:rPr>
          <w:b/>
          <w:lang w:val="de-DE"/>
        </w:rPr>
        <w:t>2</w:t>
      </w:r>
      <w:r w:rsidRPr="00F76D4A">
        <w:rPr>
          <w:lang w:val="de-DE"/>
        </w:rPr>
        <w:t>) to dimethyl itaconate (</w:t>
      </w:r>
      <w:r w:rsidRPr="00F76D4A">
        <w:rPr>
          <w:b/>
          <w:lang w:val="de-DE"/>
        </w:rPr>
        <w:t>1</w:t>
      </w:r>
      <w:r w:rsidRPr="00F76D4A">
        <w:rPr>
          <w:lang w:val="de-DE"/>
        </w:rPr>
        <w:t xml:space="preserve">), allowing rapid GC-FID analysis and avoiding complications associated with using polymers such as changing viscosity and mass transfer and broad peaks in </w:t>
      </w:r>
      <w:r w:rsidRPr="00F76D4A">
        <w:rPr>
          <w:vertAlign w:val="superscript"/>
          <w:lang w:val="de-DE"/>
        </w:rPr>
        <w:t>1</w:t>
      </w:r>
      <w:r w:rsidRPr="00F76D4A">
        <w:rPr>
          <w:lang w:val="de-DE"/>
        </w:rPr>
        <w:t>H NMR</w:t>
      </w:r>
      <w:r w:rsidR="0009136A">
        <w:rPr>
          <w:lang w:val="de-DE"/>
        </w:rPr>
        <w:t xml:space="preserve"> spectra</w:t>
      </w:r>
      <w:r w:rsidRPr="00F76D4A">
        <w:rPr>
          <w:lang w:val="de-DE"/>
        </w:rPr>
        <w:t>. DEA (</w:t>
      </w:r>
      <w:r w:rsidRPr="00F76D4A">
        <w:rPr>
          <w:b/>
          <w:lang w:val="de-DE"/>
        </w:rPr>
        <w:t>2</w:t>
      </w:r>
      <w:r w:rsidRPr="00F76D4A">
        <w:rPr>
          <w:lang w:val="de-DE"/>
        </w:rPr>
        <w:t>) was selected as a readily available secondary amine, with a low boiling point (56 ºC) allowing easy removal and analysis, whilst still having the potential to be sourced from biomass (via ethanol and ammonia). The resulting aza-Michael product (</w:t>
      </w:r>
      <w:r w:rsidRPr="00F76D4A">
        <w:rPr>
          <w:b/>
          <w:lang w:val="de-DE"/>
        </w:rPr>
        <w:t>3</w:t>
      </w:r>
      <w:r w:rsidRPr="00F76D4A">
        <w:rPr>
          <w:lang w:val="de-DE"/>
        </w:rPr>
        <w:t>), along with the regioisomers dimethyl mesaconate (</w:t>
      </w:r>
      <w:r w:rsidRPr="00F76D4A">
        <w:rPr>
          <w:b/>
          <w:lang w:val="de-DE"/>
        </w:rPr>
        <w:t>4</w:t>
      </w:r>
      <w:r w:rsidRPr="00F76D4A">
        <w:rPr>
          <w:lang w:val="de-DE"/>
        </w:rPr>
        <w:t>) and dimethyl citraconate (</w:t>
      </w:r>
      <w:r w:rsidRPr="00F76D4A">
        <w:rPr>
          <w:b/>
          <w:lang w:val="de-DE"/>
        </w:rPr>
        <w:t>5)</w:t>
      </w:r>
      <w:r w:rsidRPr="00F76D4A">
        <w:rPr>
          <w:lang w:val="de-DE"/>
        </w:rPr>
        <w:t xml:space="preserve"> and their subsequent aza-Michael adducts (</w:t>
      </w:r>
      <w:r w:rsidRPr="00F76D4A">
        <w:rPr>
          <w:b/>
          <w:lang w:val="de-DE"/>
        </w:rPr>
        <w:t>6</w:t>
      </w:r>
      <w:r w:rsidRPr="00F76D4A">
        <w:rPr>
          <w:lang w:val="de-DE"/>
        </w:rPr>
        <w:t xml:space="preserve"> and</w:t>
      </w:r>
      <w:r w:rsidRPr="00F76D4A">
        <w:rPr>
          <w:b/>
          <w:lang w:val="de-DE"/>
        </w:rPr>
        <w:t xml:space="preserve"> 7</w:t>
      </w:r>
      <w:r w:rsidRPr="00F76D4A">
        <w:rPr>
          <w:lang w:val="de-DE"/>
        </w:rPr>
        <w:t>) were monitored and, where observed, characterised by NMR spectroscopy and GC-MS, (scheme 3).</w:t>
      </w:r>
    </w:p>
    <w:p w14:paraId="4A86394F" w14:textId="6875F9CD" w:rsidR="00F76D4A" w:rsidRPr="00EA2859" w:rsidRDefault="00EF67B7" w:rsidP="00EA2859">
      <w:pPr>
        <w:pStyle w:val="P1"/>
        <w:rPr>
          <w:sz w:val="14"/>
        </w:rPr>
      </w:pPr>
      <w:r>
        <w:rPr>
          <w:noProof/>
        </w:rPr>
        <w:object w:dxaOrig="1440" w:dyaOrig="1440" w14:anchorId="7A3B419D">
          <v:shape id="_x0000_s1066" type="#_x0000_t75" style="position:absolute;left:0;text-align:left;margin-left:257.95pt;margin-top:431.5pt;width:243.6pt;height:168pt;z-index:251664896;mso-position-horizontal-relative:margin;mso-position-vertical-relative:margin">
            <v:imagedata r:id="rId19" o:title=""/>
            <w10:wrap type="square" anchorx="margin" anchory="margin"/>
          </v:shape>
          <o:OLEObject Type="Embed" ProgID="ChemDraw.Document.6.0" ShapeID="_x0000_s1066" DrawAspect="Content" ObjectID="_1589103329" r:id="rId20"/>
        </w:object>
      </w:r>
      <w:r w:rsidR="00F76D4A" w:rsidRPr="00EA2859">
        <w:rPr>
          <w:b/>
          <w:sz w:val="14"/>
        </w:rPr>
        <w:t>Scheme 3.</w:t>
      </w:r>
      <w:r w:rsidR="00F76D4A" w:rsidRPr="00EA2859">
        <w:rPr>
          <w:sz w:val="14"/>
        </w:rPr>
        <w:t xml:space="preserve"> Aza-Michael addit</w:t>
      </w:r>
      <w:r w:rsidR="0009136A">
        <w:rPr>
          <w:sz w:val="14"/>
        </w:rPr>
        <w:t>ion of DEA</w:t>
      </w:r>
      <w:r w:rsidR="00F76D4A" w:rsidRPr="00EA2859">
        <w:rPr>
          <w:sz w:val="14"/>
        </w:rPr>
        <w:t xml:space="preserve"> (</w:t>
      </w:r>
      <w:r w:rsidR="00F76D4A" w:rsidRPr="00EA2859">
        <w:rPr>
          <w:b/>
          <w:sz w:val="14"/>
        </w:rPr>
        <w:t>2</w:t>
      </w:r>
      <w:r w:rsidR="0009136A">
        <w:rPr>
          <w:sz w:val="14"/>
        </w:rPr>
        <w:t>) onto DMI</w:t>
      </w:r>
      <w:r w:rsidR="00F76D4A" w:rsidRPr="00EA2859">
        <w:rPr>
          <w:sz w:val="14"/>
        </w:rPr>
        <w:t xml:space="preserve"> (</w:t>
      </w:r>
      <w:r w:rsidR="00F76D4A" w:rsidRPr="00EA2859">
        <w:rPr>
          <w:b/>
          <w:sz w:val="14"/>
        </w:rPr>
        <w:t>1</w:t>
      </w:r>
      <w:r w:rsidR="00F76D4A" w:rsidRPr="00EA2859">
        <w:rPr>
          <w:sz w:val="14"/>
        </w:rPr>
        <w:t xml:space="preserve">) and </w:t>
      </w:r>
      <w:proofErr w:type="spellStart"/>
      <w:r w:rsidR="00F76D4A" w:rsidRPr="00EA2859">
        <w:rPr>
          <w:sz w:val="14"/>
        </w:rPr>
        <w:t>isomerisation</w:t>
      </w:r>
      <w:proofErr w:type="spellEnd"/>
      <w:r w:rsidR="00F76D4A" w:rsidRPr="00EA2859">
        <w:rPr>
          <w:sz w:val="14"/>
        </w:rPr>
        <w:t xml:space="preserve"> of </w:t>
      </w:r>
      <w:r w:rsidR="0009136A">
        <w:rPr>
          <w:sz w:val="14"/>
        </w:rPr>
        <w:t>DMI</w:t>
      </w:r>
      <w:r w:rsidR="00F76D4A" w:rsidRPr="00EA2859">
        <w:rPr>
          <w:sz w:val="14"/>
        </w:rPr>
        <w:t xml:space="preserve"> (</w:t>
      </w:r>
      <w:r w:rsidR="00F76D4A" w:rsidRPr="00EA2859">
        <w:rPr>
          <w:b/>
          <w:sz w:val="14"/>
        </w:rPr>
        <w:t>1</w:t>
      </w:r>
      <w:r w:rsidR="00F76D4A" w:rsidRPr="00EA2859">
        <w:rPr>
          <w:sz w:val="14"/>
        </w:rPr>
        <w:t xml:space="preserve">) to dimethyl </w:t>
      </w:r>
      <w:proofErr w:type="spellStart"/>
      <w:r w:rsidR="00F76D4A" w:rsidRPr="00EA2859">
        <w:rPr>
          <w:sz w:val="14"/>
        </w:rPr>
        <w:t>mesoconate</w:t>
      </w:r>
      <w:proofErr w:type="spellEnd"/>
      <w:r w:rsidR="00F76D4A" w:rsidRPr="00EA2859">
        <w:rPr>
          <w:sz w:val="14"/>
        </w:rPr>
        <w:t xml:space="preserve"> (</w:t>
      </w:r>
      <w:r w:rsidR="00F76D4A" w:rsidRPr="00EA2859">
        <w:rPr>
          <w:b/>
          <w:sz w:val="14"/>
        </w:rPr>
        <w:t>4</w:t>
      </w:r>
      <w:r w:rsidR="00F76D4A" w:rsidRPr="00EA2859">
        <w:rPr>
          <w:sz w:val="14"/>
        </w:rPr>
        <w:t xml:space="preserve">) and dimethyl </w:t>
      </w:r>
      <w:proofErr w:type="spellStart"/>
      <w:r w:rsidR="00F76D4A" w:rsidRPr="00EA2859">
        <w:rPr>
          <w:sz w:val="14"/>
        </w:rPr>
        <w:t>citraconate</w:t>
      </w:r>
      <w:proofErr w:type="spellEnd"/>
      <w:r w:rsidR="00F76D4A" w:rsidRPr="00EA2859">
        <w:rPr>
          <w:sz w:val="14"/>
        </w:rPr>
        <w:t xml:space="preserve"> (</w:t>
      </w:r>
      <w:r w:rsidR="00F76D4A" w:rsidRPr="00EA2859">
        <w:rPr>
          <w:b/>
          <w:sz w:val="14"/>
        </w:rPr>
        <w:t>5</w:t>
      </w:r>
      <w:r w:rsidR="00F76D4A" w:rsidRPr="00EA2859">
        <w:rPr>
          <w:sz w:val="14"/>
        </w:rPr>
        <w:t xml:space="preserve">), with corresponding </w:t>
      </w:r>
      <w:proofErr w:type="spellStart"/>
      <w:r w:rsidR="00F76D4A" w:rsidRPr="00EA2859">
        <w:rPr>
          <w:sz w:val="14"/>
        </w:rPr>
        <w:t>aza</w:t>
      </w:r>
      <w:proofErr w:type="spellEnd"/>
      <w:r w:rsidR="00F76D4A" w:rsidRPr="00EA2859">
        <w:rPr>
          <w:sz w:val="14"/>
        </w:rPr>
        <w:t>-Michael addition products (</w:t>
      </w:r>
      <w:r w:rsidR="00F76D4A" w:rsidRPr="00EA2859">
        <w:rPr>
          <w:b/>
          <w:sz w:val="14"/>
        </w:rPr>
        <w:t>6</w:t>
      </w:r>
      <w:r w:rsidR="00F76D4A" w:rsidRPr="00EA2859">
        <w:rPr>
          <w:sz w:val="14"/>
        </w:rPr>
        <w:t xml:space="preserve"> and </w:t>
      </w:r>
      <w:r w:rsidR="00F76D4A" w:rsidRPr="00EA2859">
        <w:rPr>
          <w:b/>
          <w:sz w:val="14"/>
        </w:rPr>
        <w:t>7</w:t>
      </w:r>
      <w:r w:rsidR="00F76D4A" w:rsidRPr="00EA2859">
        <w:rPr>
          <w:sz w:val="14"/>
        </w:rPr>
        <w:t>).</w:t>
      </w:r>
    </w:p>
    <w:p w14:paraId="5D2D797A" w14:textId="18084A64" w:rsidR="00C9071F" w:rsidRPr="00F76D4A" w:rsidRDefault="0036511A" w:rsidP="00F76D4A">
      <w:pPr>
        <w:pStyle w:val="P1"/>
        <w:rPr>
          <w:lang w:val="de-DE"/>
        </w:rPr>
      </w:pPr>
      <w:r>
        <w:rPr>
          <w:noProof/>
          <w:lang w:val="en-GB" w:eastAsia="en-GB"/>
        </w:rPr>
        <w:lastRenderedPageBreak/>
        <w:drawing>
          <wp:anchor distT="0" distB="0" distL="114300" distR="114300" simplePos="0" relativeHeight="251690496" behindDoc="0" locked="0" layoutInCell="1" allowOverlap="1" wp14:anchorId="641448C7" wp14:editId="111A946E">
            <wp:simplePos x="0" y="0"/>
            <wp:positionH relativeFrom="margin">
              <wp:align>right</wp:align>
            </wp:positionH>
            <wp:positionV relativeFrom="margin">
              <wp:posOffset>1158240</wp:posOffset>
            </wp:positionV>
            <wp:extent cx="3067743" cy="21564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743" cy="2156460"/>
                    </a:xfrm>
                    <a:prstGeom prst="rect">
                      <a:avLst/>
                    </a:prstGeom>
                    <a:noFill/>
                  </pic:spPr>
                </pic:pic>
              </a:graphicData>
            </a:graphic>
          </wp:anchor>
        </w:drawing>
      </w:r>
      <w:r w:rsidR="000A3E51">
        <w:rPr>
          <w:noProof/>
          <w:sz w:val="20"/>
          <w:szCs w:val="20"/>
          <w:lang w:val="en-GB" w:eastAsia="en-GB"/>
        </w:rPr>
        <w:drawing>
          <wp:anchor distT="0" distB="0" distL="114300" distR="114300" simplePos="0" relativeHeight="251665920" behindDoc="0" locked="0" layoutInCell="1" allowOverlap="1" wp14:anchorId="2AAA3057" wp14:editId="20D2F910">
            <wp:simplePos x="0" y="0"/>
            <wp:positionH relativeFrom="column">
              <wp:align>right</wp:align>
            </wp:positionH>
            <wp:positionV relativeFrom="margin">
              <wp:posOffset>2435860</wp:posOffset>
            </wp:positionV>
            <wp:extent cx="3095625" cy="208066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2080666"/>
                    </a:xfrm>
                    <a:prstGeom prst="rect">
                      <a:avLst/>
                    </a:prstGeom>
                    <a:noFill/>
                  </pic:spPr>
                </pic:pic>
              </a:graphicData>
            </a:graphic>
          </wp:anchor>
        </w:drawing>
      </w:r>
      <w:r w:rsidR="00F76D4A" w:rsidRPr="00F76D4A">
        <w:rPr>
          <w:lang w:val="de-DE"/>
        </w:rPr>
        <w:t>Initially the aza-Michael addition was performed without catalyst at 21 ºC with a 3:1 ratio of DEA:DMI under solvent free conditions, as would be typical for additions onto UPEs or unsaturated monoesters (Figure 1).</w:t>
      </w:r>
      <w:r w:rsidR="00A0204A" w:rsidRPr="00A0204A">
        <w:rPr>
          <w:vertAlign w:val="superscript"/>
          <w:lang w:val="de-DE"/>
        </w:rPr>
        <w:t>[4</w:t>
      </w:r>
      <w:r w:rsidR="00575627">
        <w:rPr>
          <w:vertAlign w:val="superscript"/>
          <w:lang w:val="de-DE"/>
        </w:rPr>
        <w:t>e,4</w:t>
      </w:r>
      <w:r w:rsidR="00A0204A" w:rsidRPr="00A0204A">
        <w:rPr>
          <w:vertAlign w:val="superscript"/>
          <w:lang w:val="de-DE"/>
        </w:rPr>
        <w:t>f,13,15]</w:t>
      </w:r>
      <w:r w:rsidR="00F76D4A" w:rsidRPr="00F76D4A">
        <w:rPr>
          <w:lang w:val="de-DE"/>
        </w:rPr>
        <w:t xml:space="preserve"> Reaction times of up to 72 hours were re</w:t>
      </w:r>
      <w:r w:rsidR="00C0070A">
        <w:rPr>
          <w:lang w:val="de-DE"/>
        </w:rPr>
        <w:t>quired for yields above 80% of adduct</w:t>
      </w:r>
      <w:r w:rsidR="00F76D4A" w:rsidRPr="00F76D4A">
        <w:rPr>
          <w:lang w:val="de-DE"/>
        </w:rPr>
        <w:t xml:space="preserve"> </w:t>
      </w:r>
      <w:r w:rsidR="00F76D4A" w:rsidRPr="00F76D4A">
        <w:rPr>
          <w:b/>
          <w:lang w:val="de-DE"/>
        </w:rPr>
        <w:t>3</w:t>
      </w:r>
      <w:r w:rsidR="00F76D4A" w:rsidRPr="00F76D4A">
        <w:rPr>
          <w:lang w:val="de-DE"/>
        </w:rPr>
        <w:t>. However, throughout the reaction period it</w:t>
      </w:r>
      <w:r w:rsidR="00C0070A">
        <w:rPr>
          <w:lang w:val="de-DE"/>
        </w:rPr>
        <w:t xml:space="preserve"> was clear that a portion of DMI</w:t>
      </w:r>
      <w:r w:rsidR="00F76D4A" w:rsidRPr="00F76D4A">
        <w:rPr>
          <w:lang w:val="de-DE"/>
        </w:rPr>
        <w:t xml:space="preserve"> </w:t>
      </w:r>
      <w:r w:rsidR="00C0070A">
        <w:rPr>
          <w:lang w:val="de-DE"/>
        </w:rPr>
        <w:t>(</w:t>
      </w:r>
      <w:r w:rsidR="00F76D4A" w:rsidRPr="00F76D4A">
        <w:rPr>
          <w:b/>
          <w:lang w:val="de-DE"/>
        </w:rPr>
        <w:t>1</w:t>
      </w:r>
      <w:r w:rsidR="00C0070A" w:rsidRPr="00C0070A">
        <w:rPr>
          <w:lang w:val="de-DE"/>
        </w:rPr>
        <w:t>)</w:t>
      </w:r>
      <w:r w:rsidR="00F76D4A" w:rsidRPr="00F76D4A">
        <w:rPr>
          <w:lang w:val="de-DE"/>
        </w:rPr>
        <w:t xml:space="preserve"> was isomerising to </w:t>
      </w:r>
      <w:r w:rsidR="00F76D4A" w:rsidRPr="00F76D4A">
        <w:rPr>
          <w:b/>
          <w:lang w:val="de-DE"/>
        </w:rPr>
        <w:t>4</w:t>
      </w:r>
      <w:r w:rsidR="00C0070A">
        <w:rPr>
          <w:b/>
          <w:lang w:val="de-DE"/>
        </w:rPr>
        <w:t xml:space="preserve"> </w:t>
      </w:r>
      <w:r w:rsidR="00C0070A" w:rsidRPr="00C0070A">
        <w:rPr>
          <w:lang w:val="de-DE"/>
        </w:rPr>
        <w:t>(mesaconate)</w:t>
      </w:r>
      <w:r w:rsidR="00F76D4A" w:rsidRPr="00C0070A">
        <w:rPr>
          <w:lang w:val="de-DE"/>
        </w:rPr>
        <w:t>,</w:t>
      </w:r>
      <w:r w:rsidR="00F76D4A" w:rsidRPr="00F76D4A">
        <w:rPr>
          <w:lang w:val="de-DE"/>
        </w:rPr>
        <w:t xml:space="preserve"> as seen with a similar previous study for the addition of acetylacetone to itaconate.</w:t>
      </w:r>
      <w:r w:rsidR="00A0204A" w:rsidRPr="00A0204A">
        <w:rPr>
          <w:vertAlign w:val="superscript"/>
          <w:lang w:val="de-DE"/>
        </w:rPr>
        <w:t>[12]</w:t>
      </w:r>
      <w:r w:rsidR="00F76D4A" w:rsidRPr="00F76D4A">
        <w:rPr>
          <w:lang w:val="de-DE"/>
        </w:rPr>
        <w:t xml:space="preserve"> Increasing the DEA:DMI ratio to 5:1 whilst extending the length of reaction to 5 days resulted in complete conversion of DMI and a</w:t>
      </w:r>
      <w:r w:rsidR="000A3E51">
        <w:rPr>
          <w:lang w:val="de-DE"/>
        </w:rPr>
        <w:t>n</w:t>
      </w:r>
      <w:r w:rsidR="00F76D4A" w:rsidRPr="00F76D4A">
        <w:rPr>
          <w:lang w:val="de-DE"/>
        </w:rPr>
        <w:t xml:space="preserve"> 94% isolated yield of adduct</w:t>
      </w:r>
      <w:r w:rsidR="00F76D4A" w:rsidRPr="00F76D4A">
        <w:rPr>
          <w:b/>
          <w:lang w:val="de-DE"/>
        </w:rPr>
        <w:t xml:space="preserve"> 3</w:t>
      </w:r>
      <w:r w:rsidR="00F76D4A" w:rsidRPr="00F76D4A">
        <w:rPr>
          <w:lang w:val="de-DE"/>
        </w:rPr>
        <w:t xml:space="preserve">. </w:t>
      </w:r>
      <w:r w:rsidR="00F76D4A" w:rsidRPr="00F76D4A">
        <w:rPr>
          <w:vertAlign w:val="superscript"/>
          <w:lang w:val="de-DE"/>
        </w:rPr>
        <w:t>1</w:t>
      </w:r>
      <w:r w:rsidR="00F76D4A" w:rsidRPr="00F76D4A">
        <w:rPr>
          <w:lang w:val="de-DE"/>
        </w:rPr>
        <w:t xml:space="preserve">H and </w:t>
      </w:r>
      <w:r w:rsidR="00F76D4A" w:rsidRPr="00F76D4A">
        <w:rPr>
          <w:vertAlign w:val="superscript"/>
          <w:lang w:val="de-DE"/>
        </w:rPr>
        <w:t>13</w:t>
      </w:r>
      <w:r w:rsidR="00F76D4A" w:rsidRPr="00F76D4A">
        <w:rPr>
          <w:lang w:val="de-DE"/>
        </w:rPr>
        <w:t xml:space="preserve">C NMR spectroscopy of this crude product (Figure S1) interestingly confirmed that the only aza-Michael adduct detected was </w:t>
      </w:r>
      <w:r w:rsidR="00F76D4A" w:rsidRPr="00F76D4A">
        <w:rPr>
          <w:b/>
          <w:lang w:val="de-DE"/>
        </w:rPr>
        <w:t>3</w:t>
      </w:r>
      <w:r w:rsidR="00F76D4A" w:rsidRPr="00F76D4A">
        <w:rPr>
          <w:lang w:val="de-DE"/>
        </w:rPr>
        <w:t>, indicating complete re</w:t>
      </w:r>
      <w:r w:rsidR="000A3E51">
        <w:rPr>
          <w:lang w:val="de-DE"/>
        </w:rPr>
        <w:t>gio-selectivity. A</w:t>
      </w:r>
      <w:r w:rsidR="00F76D4A" w:rsidRPr="00F76D4A">
        <w:rPr>
          <w:lang w:val="de-DE"/>
        </w:rPr>
        <w:t xml:space="preserve">za-Michael adducts </w:t>
      </w:r>
      <w:r w:rsidR="00F76D4A" w:rsidRPr="00F76D4A">
        <w:rPr>
          <w:b/>
          <w:lang w:val="de-DE"/>
        </w:rPr>
        <w:t>6</w:t>
      </w:r>
      <w:r w:rsidR="00F76D4A" w:rsidRPr="00F76D4A">
        <w:rPr>
          <w:lang w:val="de-DE"/>
        </w:rPr>
        <w:t xml:space="preserve"> and </w:t>
      </w:r>
      <w:r w:rsidR="00F76D4A" w:rsidRPr="00F76D4A">
        <w:rPr>
          <w:b/>
          <w:lang w:val="de-DE"/>
        </w:rPr>
        <w:t>7</w:t>
      </w:r>
      <w:r w:rsidR="00F76D4A" w:rsidRPr="00F76D4A">
        <w:rPr>
          <w:lang w:val="de-DE"/>
        </w:rPr>
        <w:t xml:space="preserve"> </w:t>
      </w:r>
      <w:r w:rsidR="000A3E51">
        <w:rPr>
          <w:lang w:val="de-DE"/>
        </w:rPr>
        <w:t xml:space="preserve">pontentiall formed from </w:t>
      </w:r>
      <w:r w:rsidR="000A3E51" w:rsidRPr="000A3E51">
        <w:rPr>
          <w:b/>
          <w:lang w:val="de-DE"/>
        </w:rPr>
        <w:t>4</w:t>
      </w:r>
      <w:r w:rsidR="000A3E51">
        <w:rPr>
          <w:lang w:val="de-DE"/>
        </w:rPr>
        <w:t xml:space="preserve"> </w:t>
      </w:r>
      <w:r w:rsidR="00F76D4A" w:rsidRPr="00F76D4A">
        <w:rPr>
          <w:lang w:val="de-DE"/>
        </w:rPr>
        <w:t xml:space="preserve">were not observed, and only a small amount of residual mesaconate </w:t>
      </w:r>
      <w:r w:rsidR="00F76D4A" w:rsidRPr="00F76D4A">
        <w:rPr>
          <w:b/>
          <w:lang w:val="de-DE"/>
        </w:rPr>
        <w:t>4</w:t>
      </w:r>
      <w:r w:rsidR="00F76D4A" w:rsidRPr="00F76D4A">
        <w:rPr>
          <w:lang w:val="de-DE"/>
        </w:rPr>
        <w:t xml:space="preserve"> was detected in the </w:t>
      </w:r>
      <w:r w:rsidR="00F76D4A" w:rsidRPr="00F76D4A">
        <w:rPr>
          <w:vertAlign w:val="superscript"/>
          <w:lang w:val="de-DE"/>
        </w:rPr>
        <w:t>1</w:t>
      </w:r>
      <w:r w:rsidR="00F76D4A" w:rsidRPr="00F76D4A">
        <w:rPr>
          <w:lang w:val="de-DE"/>
        </w:rPr>
        <w:t>H NMR spectra (Figure S1, top spectra).</w:t>
      </w:r>
    </w:p>
    <w:p w14:paraId="03F64F0B" w14:textId="73167C31" w:rsidR="00D80821" w:rsidRPr="00C9071F" w:rsidRDefault="00C9071F" w:rsidP="00C9071F">
      <w:pPr>
        <w:pStyle w:val="P1"/>
        <w:spacing w:line="240" w:lineRule="auto"/>
        <w:rPr>
          <w:lang w:val="de-DE"/>
        </w:rPr>
      </w:pPr>
      <w:r w:rsidRPr="00C9071F">
        <w:rPr>
          <w:b/>
          <w:sz w:val="14"/>
        </w:rPr>
        <w:t>Figure 1.</w:t>
      </w:r>
      <w:r w:rsidRPr="00C9071F">
        <w:rPr>
          <w:sz w:val="14"/>
        </w:rPr>
        <w:t xml:space="preserve"> </w:t>
      </w:r>
      <w:r w:rsidRPr="00C9071F">
        <w:rPr>
          <w:sz w:val="14"/>
          <w:lang w:val="en-GB"/>
        </w:rPr>
        <w:t xml:space="preserve">Initial time-course determination for the % conversion of DMI, % selectivity and % yield to adduct </w:t>
      </w:r>
      <w:r w:rsidRPr="00C9071F">
        <w:rPr>
          <w:b/>
          <w:sz w:val="14"/>
          <w:lang w:val="en-GB"/>
        </w:rPr>
        <w:t>3</w:t>
      </w:r>
      <w:r w:rsidRPr="00C9071F">
        <w:rPr>
          <w:sz w:val="14"/>
          <w:lang w:val="en-GB"/>
        </w:rPr>
        <w:t xml:space="preserve"> for the </w:t>
      </w:r>
      <w:proofErr w:type="spellStart"/>
      <w:r w:rsidRPr="00C9071F">
        <w:rPr>
          <w:sz w:val="14"/>
          <w:lang w:val="en-GB"/>
        </w:rPr>
        <w:t>aza</w:t>
      </w:r>
      <w:proofErr w:type="spellEnd"/>
      <w:r w:rsidRPr="00C9071F">
        <w:rPr>
          <w:sz w:val="14"/>
          <w:lang w:val="en-GB"/>
        </w:rPr>
        <w:t xml:space="preserve">-Michael addition between DMI and DEA. No catalyst, 21 ºC, </w:t>
      </w:r>
      <w:proofErr w:type="spellStart"/>
      <w:r w:rsidRPr="00C9071F">
        <w:rPr>
          <w:sz w:val="14"/>
          <w:lang w:val="en-GB"/>
        </w:rPr>
        <w:t>aza</w:t>
      </w:r>
      <w:proofErr w:type="spellEnd"/>
      <w:r w:rsidRPr="00C9071F">
        <w:rPr>
          <w:sz w:val="14"/>
          <w:lang w:val="en-GB"/>
        </w:rPr>
        <w:t>-Michael addition of DEA to DMI.</w:t>
      </w:r>
      <w:r w:rsidRPr="00C9071F">
        <w:rPr>
          <w:b/>
          <w:sz w:val="14"/>
          <w:lang w:val="en-GB"/>
        </w:rPr>
        <w:t xml:space="preserve"> </w:t>
      </w:r>
      <w:r w:rsidRPr="00C9071F">
        <w:rPr>
          <w:sz w:val="14"/>
          <w:lang w:val="en-GB"/>
        </w:rPr>
        <w:t xml:space="preserve">2.5 </w:t>
      </w:r>
      <w:proofErr w:type="spellStart"/>
      <w:r w:rsidRPr="00C9071F">
        <w:rPr>
          <w:sz w:val="14"/>
          <w:lang w:val="en-GB"/>
        </w:rPr>
        <w:t>mmol</w:t>
      </w:r>
      <w:proofErr w:type="spellEnd"/>
      <w:r w:rsidRPr="00C9071F">
        <w:rPr>
          <w:sz w:val="14"/>
          <w:lang w:val="en-GB"/>
        </w:rPr>
        <w:t xml:space="preserve"> DMI, 8.2 </w:t>
      </w:r>
      <w:proofErr w:type="spellStart"/>
      <w:r w:rsidRPr="00C9071F">
        <w:rPr>
          <w:sz w:val="14"/>
          <w:lang w:val="en-GB"/>
        </w:rPr>
        <w:t>mmol</w:t>
      </w:r>
      <w:proofErr w:type="spellEnd"/>
      <w:r w:rsidRPr="00C9071F">
        <w:rPr>
          <w:sz w:val="14"/>
          <w:lang w:val="en-GB"/>
        </w:rPr>
        <w:t xml:space="preserve"> DEA</w:t>
      </w:r>
      <w:r>
        <w:rPr>
          <w:sz w:val="14"/>
          <w:lang w:val="en-GB"/>
        </w:rPr>
        <w:t>.</w:t>
      </w:r>
    </w:p>
    <w:p w14:paraId="37DA7395" w14:textId="6A6093C5" w:rsidR="00C9071F" w:rsidRDefault="00C9071F" w:rsidP="00C9071F">
      <w:pPr>
        <w:pStyle w:val="P1"/>
      </w:pPr>
    </w:p>
    <w:p w14:paraId="396722FD" w14:textId="52605484" w:rsidR="00C9071F" w:rsidRDefault="00C9071F" w:rsidP="00C9071F">
      <w:pPr>
        <w:pStyle w:val="P1"/>
      </w:pPr>
      <w:r w:rsidRPr="00C9071F">
        <w:t xml:space="preserve">Importantly, over long reaction times it appeared that the reaction resulted in complete regio-selectivity to product </w:t>
      </w:r>
      <w:r w:rsidRPr="00C9071F">
        <w:rPr>
          <w:b/>
        </w:rPr>
        <w:t>3</w:t>
      </w:r>
      <w:r w:rsidRPr="00C9071F">
        <w:t xml:space="preserve"> (i.e. addition to </w:t>
      </w:r>
      <w:proofErr w:type="spellStart"/>
      <w:r w:rsidRPr="00C9071F">
        <w:t>itaconate</w:t>
      </w:r>
      <w:proofErr w:type="spellEnd"/>
      <w:r w:rsidRPr="00C9071F">
        <w:t xml:space="preserve">) </w:t>
      </w:r>
      <w:r w:rsidR="000A3E51">
        <w:t xml:space="preserve">even </w:t>
      </w:r>
      <w:r w:rsidRPr="00C9071F">
        <w:t xml:space="preserve">despite the possibility of Michael addition to </w:t>
      </w:r>
      <w:proofErr w:type="spellStart"/>
      <w:r w:rsidRPr="00C9071F">
        <w:t>regioisomer</w:t>
      </w:r>
      <w:proofErr w:type="spellEnd"/>
      <w:r w:rsidRPr="00C9071F">
        <w:t xml:space="preserve"> dimethyl </w:t>
      </w:r>
      <w:proofErr w:type="spellStart"/>
      <w:r w:rsidRPr="00C9071F">
        <w:t>mesoconate</w:t>
      </w:r>
      <w:proofErr w:type="spellEnd"/>
      <w:r w:rsidRPr="00C9071F">
        <w:t xml:space="preserve"> </w:t>
      </w:r>
      <w:r w:rsidRPr="00C9071F">
        <w:rPr>
          <w:b/>
        </w:rPr>
        <w:t xml:space="preserve">4 </w:t>
      </w:r>
      <w:r w:rsidRPr="00C9071F">
        <w:t>to give products</w:t>
      </w:r>
      <w:r w:rsidRPr="00C9071F">
        <w:rPr>
          <w:b/>
        </w:rPr>
        <w:t xml:space="preserve"> 6 </w:t>
      </w:r>
      <w:r w:rsidRPr="00C9071F">
        <w:t>and</w:t>
      </w:r>
      <w:r w:rsidRPr="00C9071F">
        <w:rPr>
          <w:b/>
        </w:rPr>
        <w:t xml:space="preserve"> 7</w:t>
      </w:r>
      <w:r w:rsidRPr="00C9071F">
        <w:t>.</w:t>
      </w:r>
    </w:p>
    <w:p w14:paraId="23F747D6" w14:textId="4E28A74F" w:rsidR="00C9071F" w:rsidRDefault="00C9071F" w:rsidP="00C9071F">
      <w:pPr>
        <w:pStyle w:val="P1"/>
        <w:rPr>
          <w:lang w:val="en-GB"/>
        </w:rPr>
      </w:pPr>
      <w:bookmarkStart w:id="0" w:name="_Ref229409363"/>
    </w:p>
    <w:p w14:paraId="33FD28BD" w14:textId="1BC1B4B0" w:rsidR="00C9071F" w:rsidRPr="00C9071F" w:rsidRDefault="00C9071F" w:rsidP="00C9071F">
      <w:pPr>
        <w:pStyle w:val="P1"/>
        <w:rPr>
          <w:b/>
        </w:rPr>
      </w:pPr>
      <w:r w:rsidRPr="00C9071F">
        <w:rPr>
          <w:b/>
        </w:rPr>
        <w:t>Effects of Altering DEA</w:t>
      </w:r>
      <w:proofErr w:type="gramStart"/>
      <w:r w:rsidRPr="00C9071F">
        <w:rPr>
          <w:b/>
        </w:rPr>
        <w:t>:DMI</w:t>
      </w:r>
      <w:proofErr w:type="gramEnd"/>
      <w:r w:rsidRPr="00C9071F">
        <w:rPr>
          <w:b/>
        </w:rPr>
        <w:t xml:space="preserve"> Ratio</w:t>
      </w:r>
      <w:bookmarkEnd w:id="0"/>
    </w:p>
    <w:p w14:paraId="79EDA2AA" w14:textId="499BF112" w:rsidR="00B266B2" w:rsidRDefault="00C9071F" w:rsidP="00B266B2">
      <w:pPr>
        <w:pStyle w:val="P1"/>
      </w:pPr>
      <w:r w:rsidRPr="00C9071F">
        <w:t>In order to identify the effect of increase</w:t>
      </w:r>
      <w:r w:rsidR="000A3E51">
        <w:t>d</w:t>
      </w:r>
      <w:r w:rsidRPr="00C9071F">
        <w:t xml:space="preserve"> amine concentration on selectivity and </w:t>
      </w:r>
      <w:proofErr w:type="spellStart"/>
      <w:r w:rsidRPr="00C9071F">
        <w:t>isomerisation</w:t>
      </w:r>
      <w:proofErr w:type="spellEnd"/>
      <w:r w:rsidRPr="00C9071F">
        <w:t>, several DEA</w:t>
      </w:r>
      <w:proofErr w:type="gramStart"/>
      <w:r w:rsidRPr="00C9071F">
        <w:t>:DMI</w:t>
      </w:r>
      <w:proofErr w:type="gramEnd"/>
      <w:r w:rsidRPr="00C9071F">
        <w:t xml:space="preserve"> molar ratios were investigated, Figure 2. The largest change in conversion was seen when increasing the DEA</w:t>
      </w:r>
      <w:proofErr w:type="gramStart"/>
      <w:r w:rsidRPr="00C9071F">
        <w:t>:DMI</w:t>
      </w:r>
      <w:proofErr w:type="gramEnd"/>
      <w:r w:rsidRPr="00C9071F">
        <w:t xml:space="preserve"> ratio from 2:1 to 4:1, with conversions almost doubling over time. Further increase in DEA concentration had a reduced effect, particularly when comparing 6:1 to 8:1.</w:t>
      </w:r>
      <w:r w:rsidR="00B266B2" w:rsidRPr="00B266B2">
        <w:t xml:space="preserve"> </w:t>
      </w:r>
    </w:p>
    <w:p w14:paraId="6EBB5FFE" w14:textId="43A897CA" w:rsidR="0036511A" w:rsidRDefault="00B266B2" w:rsidP="0036511A">
      <w:pPr>
        <w:pStyle w:val="P1withIndendation"/>
      </w:pPr>
      <w:r w:rsidRPr="00EA2859">
        <w:t xml:space="preserve">Upon closer inspection of the reactions profiles, it was clear that a number of equilibriums existed between the different compounds </w:t>
      </w:r>
      <w:r w:rsidRPr="00EA2859">
        <w:rPr>
          <w:b/>
        </w:rPr>
        <w:t>1-5</w:t>
      </w:r>
      <w:r w:rsidRPr="00EA2859">
        <w:t xml:space="preserve">, which appeared to change over time. As shown by the reaction profiles (Figure 3), the consumption of the DMI </w:t>
      </w:r>
      <w:r w:rsidRPr="00EA2859">
        <w:rPr>
          <w:b/>
        </w:rPr>
        <w:t xml:space="preserve">1 </w:t>
      </w:r>
      <w:r w:rsidRPr="00EA2859">
        <w:t xml:space="preserve">starting material proceeds by two competing reactions; the desired </w:t>
      </w:r>
      <w:proofErr w:type="spellStart"/>
      <w:r w:rsidRPr="00EA2859">
        <w:t>aza</w:t>
      </w:r>
      <w:proofErr w:type="spellEnd"/>
      <w:r w:rsidRPr="00EA2859">
        <w:t xml:space="preserve">-Michael addition (forming compound </w:t>
      </w:r>
      <w:r w:rsidRPr="00EA2859">
        <w:rPr>
          <w:b/>
        </w:rPr>
        <w:t>3</w:t>
      </w:r>
      <w:r w:rsidRPr="00EA2859">
        <w:t xml:space="preserve">) or isomerisation to </w:t>
      </w:r>
      <w:proofErr w:type="spellStart"/>
      <w:r w:rsidRPr="00EA2859">
        <w:t>mesaconate</w:t>
      </w:r>
      <w:proofErr w:type="spellEnd"/>
      <w:r w:rsidRPr="00EA2859">
        <w:t xml:space="preserve"> </w:t>
      </w:r>
      <w:r w:rsidRPr="00EA2859">
        <w:rPr>
          <w:b/>
        </w:rPr>
        <w:t>4</w:t>
      </w:r>
      <w:r w:rsidRPr="00EA2859">
        <w:t xml:space="preserve">. Negligible quantities of </w:t>
      </w:r>
      <w:proofErr w:type="spellStart"/>
      <w:r w:rsidRPr="00EA2859">
        <w:t>citraconate</w:t>
      </w:r>
      <w:proofErr w:type="spellEnd"/>
      <w:r w:rsidRPr="00EA2859">
        <w:t xml:space="preserve"> </w:t>
      </w:r>
      <w:r w:rsidRPr="00EA2859">
        <w:rPr>
          <w:b/>
        </w:rPr>
        <w:t xml:space="preserve">5 </w:t>
      </w:r>
      <w:r w:rsidRPr="00EA2859">
        <w:t xml:space="preserve">were detected by GC or </w:t>
      </w:r>
      <w:r w:rsidRPr="00EA2859">
        <w:rPr>
          <w:vertAlign w:val="superscript"/>
        </w:rPr>
        <w:t>1</w:t>
      </w:r>
      <w:r w:rsidRPr="00EA2859">
        <w:t xml:space="preserve">H-NMR spectroscopy, showing that </w:t>
      </w:r>
      <w:r w:rsidRPr="00EA2859">
        <w:rPr>
          <w:b/>
        </w:rPr>
        <w:t xml:space="preserve">4 </w:t>
      </w:r>
      <w:r w:rsidRPr="00EA2859">
        <w:t xml:space="preserve">is the dominant isomer. Initial consumption of DMI </w:t>
      </w:r>
      <w:r w:rsidRPr="00EA2859">
        <w:rPr>
          <w:b/>
        </w:rPr>
        <w:t>1</w:t>
      </w:r>
      <w:r w:rsidRPr="00EA2859">
        <w:t xml:space="preserve"> was rapid, and increased in conjunction with the DEA</w:t>
      </w:r>
      <w:proofErr w:type="gramStart"/>
      <w:r w:rsidRPr="00EA2859">
        <w:t>:DMI</w:t>
      </w:r>
      <w:proofErr w:type="gramEnd"/>
      <w:r w:rsidRPr="00EA2859">
        <w:t xml:space="preserve"> ratio, shown in Figure 3, </w:t>
      </w:r>
      <w:r w:rsidRPr="00EA2859">
        <w:rPr>
          <w:b/>
        </w:rPr>
        <w:t>B</w:t>
      </w:r>
      <w:r w:rsidRPr="00EA2859">
        <w:t xml:space="preserve">. The maximum observed amount of </w:t>
      </w:r>
      <w:r w:rsidRPr="00EA2859">
        <w:rPr>
          <w:b/>
        </w:rPr>
        <w:t xml:space="preserve">4 </w:t>
      </w:r>
      <w:r w:rsidRPr="00EA2859">
        <w:t>was seen for the lowest DEA</w:t>
      </w:r>
      <w:proofErr w:type="gramStart"/>
      <w:r w:rsidRPr="00EA2859">
        <w:t>:DMI</w:t>
      </w:r>
      <w:proofErr w:type="gramEnd"/>
      <w:r w:rsidRPr="00EA2859">
        <w:t xml:space="preserve"> ratio (2:1). This was anticipated, as isomerisation was in competition with </w:t>
      </w:r>
      <w:proofErr w:type="spellStart"/>
      <w:r w:rsidRPr="00EA2859">
        <w:t>aza</w:t>
      </w:r>
      <w:proofErr w:type="spellEnd"/>
      <w:r w:rsidRPr="00EA2859">
        <w:t xml:space="preserve">-Michael addition, with the addition logically becoming more favourable for the higher amine concentrations. Interestingly despite the ability of isomer </w:t>
      </w:r>
      <w:r w:rsidRPr="00EA2859">
        <w:rPr>
          <w:b/>
        </w:rPr>
        <w:t>4</w:t>
      </w:r>
      <w:r w:rsidRPr="00EA2859">
        <w:t xml:space="preserve"> to undergo </w:t>
      </w:r>
      <w:proofErr w:type="spellStart"/>
      <w:r w:rsidRPr="00EA2859">
        <w:t>aza</w:t>
      </w:r>
      <w:proofErr w:type="spellEnd"/>
      <w:r w:rsidRPr="00EA2859">
        <w:t xml:space="preserve">-Michael addition, only product </w:t>
      </w:r>
      <w:r w:rsidRPr="00EA2859">
        <w:rPr>
          <w:b/>
        </w:rPr>
        <w:t>3</w:t>
      </w:r>
      <w:r w:rsidRPr="00EA2859">
        <w:t xml:space="preserve"> rather than</w:t>
      </w:r>
      <w:r w:rsidRPr="00EA2859">
        <w:rPr>
          <w:b/>
        </w:rPr>
        <w:t xml:space="preserve"> 6 </w:t>
      </w:r>
      <w:r w:rsidRPr="00EA2859">
        <w:t xml:space="preserve">or </w:t>
      </w:r>
      <w:r w:rsidRPr="00EA2859">
        <w:rPr>
          <w:b/>
        </w:rPr>
        <w:t>7</w:t>
      </w:r>
      <w:r w:rsidRPr="00EA2859">
        <w:t xml:space="preserve"> was detected.</w:t>
      </w:r>
    </w:p>
    <w:p w14:paraId="1EC33532" w14:textId="76799DE0" w:rsidR="00B266B2" w:rsidRPr="00212FD6" w:rsidRDefault="000A3E51" w:rsidP="00212FD6">
      <w:pPr>
        <w:pStyle w:val="P1withIndendation"/>
        <w:ind w:firstLine="0"/>
      </w:pPr>
      <w:r>
        <w:rPr>
          <w:noProof/>
          <w:lang w:eastAsia="en-GB"/>
        </w:rPr>
        <w:drawing>
          <wp:anchor distT="0" distB="0" distL="114300" distR="114300" simplePos="0" relativeHeight="251671040" behindDoc="0" locked="0" layoutInCell="1" allowOverlap="1" wp14:anchorId="238401C4" wp14:editId="6799CCCF">
            <wp:simplePos x="0" y="0"/>
            <wp:positionH relativeFrom="column">
              <wp:align>left</wp:align>
            </wp:positionH>
            <wp:positionV relativeFrom="margin">
              <wp:posOffset>3615055</wp:posOffset>
            </wp:positionV>
            <wp:extent cx="3095625" cy="414083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4140835"/>
                    </a:xfrm>
                    <a:prstGeom prst="rect">
                      <a:avLst/>
                    </a:prstGeom>
                    <a:noFill/>
                  </pic:spPr>
                </pic:pic>
              </a:graphicData>
            </a:graphic>
          </wp:anchor>
        </w:drawing>
      </w:r>
      <w:r w:rsidR="00EA2859" w:rsidRPr="00EA2859">
        <w:rPr>
          <w:b/>
          <w:sz w:val="14"/>
        </w:rPr>
        <w:t>Figure 2.</w:t>
      </w:r>
      <w:r w:rsidR="00EA2859" w:rsidRPr="00EA2859">
        <w:rPr>
          <w:sz w:val="14"/>
        </w:rPr>
        <w:t xml:space="preserve"> Effects of altering DEA</w:t>
      </w:r>
      <w:proofErr w:type="gramStart"/>
      <w:r w:rsidR="00EA2859" w:rsidRPr="00EA2859">
        <w:rPr>
          <w:sz w:val="14"/>
        </w:rPr>
        <w:t>:DMI</w:t>
      </w:r>
      <w:proofErr w:type="gramEnd"/>
      <w:r w:rsidR="00EA2859" w:rsidRPr="00EA2859">
        <w:rPr>
          <w:sz w:val="14"/>
        </w:rPr>
        <w:t xml:space="preserve"> ratio on the </w:t>
      </w:r>
      <w:r w:rsidR="00EA2859" w:rsidRPr="00F96419">
        <w:rPr>
          <w:sz w:val="14"/>
        </w:rPr>
        <w:t xml:space="preserve">% </w:t>
      </w:r>
      <w:r w:rsidR="00212FD6" w:rsidRPr="00F96419">
        <w:rPr>
          <w:sz w:val="14"/>
        </w:rPr>
        <w:t>yield (GC)</w:t>
      </w:r>
      <w:r w:rsidR="00EA2859" w:rsidRPr="00EA2859">
        <w:rPr>
          <w:sz w:val="14"/>
        </w:rPr>
        <w:t xml:space="preserve"> to </w:t>
      </w:r>
      <w:r w:rsidR="00EA2859" w:rsidRPr="00EA2859">
        <w:rPr>
          <w:b/>
          <w:sz w:val="14"/>
        </w:rPr>
        <w:t>3</w:t>
      </w:r>
      <w:r w:rsidR="00EA2859" w:rsidRPr="00EA2859">
        <w:rPr>
          <w:sz w:val="14"/>
        </w:rPr>
        <w:t>. 2.5 </w:t>
      </w:r>
      <w:proofErr w:type="spellStart"/>
      <w:r w:rsidR="00EA2859" w:rsidRPr="00EA2859">
        <w:rPr>
          <w:sz w:val="14"/>
        </w:rPr>
        <w:t>mmol</w:t>
      </w:r>
      <w:proofErr w:type="spellEnd"/>
      <w:r w:rsidR="00EA2859" w:rsidRPr="00EA2859">
        <w:rPr>
          <w:sz w:val="14"/>
        </w:rPr>
        <w:t xml:space="preserve"> DMI, no catalyst, no solvent, 21 ºC, monitored by GC-FID over 72 hours.</w:t>
      </w:r>
    </w:p>
    <w:p w14:paraId="5AC64906" w14:textId="3931C19F" w:rsidR="00B266B2" w:rsidRPr="00B266B2" w:rsidRDefault="00B266B2" w:rsidP="00B266B2">
      <w:pPr>
        <w:pStyle w:val="P1"/>
        <w:rPr>
          <w:sz w:val="10"/>
        </w:rPr>
      </w:pPr>
      <w:r w:rsidRPr="00B266B2">
        <w:rPr>
          <w:b/>
          <w:sz w:val="14"/>
        </w:rPr>
        <w:t>Figure 3.</w:t>
      </w:r>
      <w:r w:rsidRPr="00B266B2">
        <w:rPr>
          <w:sz w:val="14"/>
        </w:rPr>
        <w:t xml:space="preserve"> </w:t>
      </w:r>
      <w:r w:rsidRPr="00B266B2">
        <w:rPr>
          <w:sz w:val="14"/>
          <w:lang w:val="de-DE"/>
        </w:rPr>
        <w:t>Reaction profiles for the DEA addition to DMI. DEA:DMI ratios of 2:1 (</w:t>
      </w:r>
      <w:r w:rsidRPr="00B266B2">
        <w:rPr>
          <w:b/>
          <w:sz w:val="14"/>
          <w:lang w:val="de-DE"/>
        </w:rPr>
        <w:t>A</w:t>
      </w:r>
      <w:r w:rsidRPr="00B266B2">
        <w:rPr>
          <w:sz w:val="14"/>
          <w:lang w:val="de-DE"/>
        </w:rPr>
        <w:t>, top) and 8:1 (</w:t>
      </w:r>
      <w:r w:rsidRPr="00B266B2">
        <w:rPr>
          <w:b/>
          <w:sz w:val="14"/>
          <w:lang w:val="de-DE"/>
        </w:rPr>
        <w:t>B</w:t>
      </w:r>
      <w:r w:rsidRPr="00B266B2">
        <w:rPr>
          <w:sz w:val="14"/>
          <w:lang w:val="de-DE"/>
        </w:rPr>
        <w:t>, bottom). 2.5 mmol DMI, 5 (</w:t>
      </w:r>
      <w:r w:rsidRPr="00B266B2">
        <w:rPr>
          <w:b/>
          <w:sz w:val="14"/>
          <w:lang w:val="de-DE"/>
        </w:rPr>
        <w:t>A</w:t>
      </w:r>
      <w:r w:rsidRPr="00B266B2">
        <w:rPr>
          <w:sz w:val="14"/>
          <w:lang w:val="de-DE"/>
        </w:rPr>
        <w:t>) or 20 mmol (</w:t>
      </w:r>
      <w:r w:rsidRPr="00B266B2">
        <w:rPr>
          <w:b/>
          <w:sz w:val="14"/>
          <w:lang w:val="de-DE"/>
        </w:rPr>
        <w:t>B</w:t>
      </w:r>
      <w:r w:rsidRPr="00B266B2">
        <w:rPr>
          <w:sz w:val="14"/>
          <w:lang w:val="de-DE"/>
        </w:rPr>
        <w:t>) of DEA. No catalyst, no solvent, 21 ºC</w:t>
      </w:r>
      <w:r w:rsidRPr="00B266B2">
        <w:rPr>
          <w:sz w:val="14"/>
        </w:rPr>
        <w:t>.</w:t>
      </w:r>
    </w:p>
    <w:p w14:paraId="62621CC5" w14:textId="3EF4C9A7" w:rsidR="005A4733" w:rsidRDefault="00365814" w:rsidP="005A4733">
      <w:pPr>
        <w:pStyle w:val="P1"/>
      </w:pPr>
      <w:r w:rsidRPr="00D74814">
        <w:rPr>
          <w:noProof/>
          <w:sz w:val="14"/>
          <w:lang w:val="en-GB" w:eastAsia="en-GB"/>
        </w:rPr>
        <w:lastRenderedPageBreak/>
        <w:drawing>
          <wp:anchor distT="0" distB="0" distL="114300" distR="114300" simplePos="0" relativeHeight="251675136" behindDoc="0" locked="0" layoutInCell="1" allowOverlap="1" wp14:anchorId="1E41D3ED" wp14:editId="71425B36">
            <wp:simplePos x="0" y="0"/>
            <wp:positionH relativeFrom="margin">
              <wp:align>right</wp:align>
            </wp:positionH>
            <wp:positionV relativeFrom="margin">
              <wp:posOffset>3159125</wp:posOffset>
            </wp:positionV>
            <wp:extent cx="3095625" cy="1990439"/>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5625" cy="1990439"/>
                    </a:xfrm>
                    <a:prstGeom prst="rect">
                      <a:avLst/>
                    </a:prstGeom>
                    <a:noFill/>
                  </pic:spPr>
                </pic:pic>
              </a:graphicData>
            </a:graphic>
          </wp:anchor>
        </w:drawing>
      </w:r>
      <w:r>
        <w:rPr>
          <w:noProof/>
          <w:lang w:val="en-GB" w:eastAsia="en-GB"/>
        </w:rPr>
        <w:drawing>
          <wp:anchor distT="0" distB="0" distL="114300" distR="114300" simplePos="0" relativeHeight="251672064" behindDoc="0" locked="0" layoutInCell="1" allowOverlap="1" wp14:anchorId="43F645BF" wp14:editId="2A3E30E7">
            <wp:simplePos x="0" y="0"/>
            <wp:positionH relativeFrom="margin">
              <wp:align>left</wp:align>
            </wp:positionH>
            <wp:positionV relativeFrom="margin">
              <wp:posOffset>2305685</wp:posOffset>
            </wp:positionV>
            <wp:extent cx="3095625" cy="209613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2096135"/>
                    </a:xfrm>
                    <a:prstGeom prst="rect">
                      <a:avLst/>
                    </a:prstGeom>
                    <a:noFill/>
                  </pic:spPr>
                </pic:pic>
              </a:graphicData>
            </a:graphic>
          </wp:anchor>
        </w:drawing>
      </w:r>
      <w:r w:rsidR="005A4733">
        <w:t xml:space="preserve">Conversely, a </w:t>
      </w:r>
      <w:r w:rsidR="005A4733" w:rsidRPr="00F05AF7">
        <w:t>higher selectivity to</w:t>
      </w:r>
      <w:r w:rsidR="005A4733">
        <w:t xml:space="preserve"> adduct</w:t>
      </w:r>
      <w:r w:rsidR="005A4733" w:rsidRPr="00F05AF7">
        <w:t xml:space="preserve"> </w:t>
      </w:r>
      <w:r w:rsidR="005A4733">
        <w:rPr>
          <w:b/>
        </w:rPr>
        <w:t xml:space="preserve">3 </w:t>
      </w:r>
      <w:r w:rsidR="005A4733" w:rsidRPr="00397E3C">
        <w:t>rather than</w:t>
      </w:r>
      <w:r w:rsidR="005A4733">
        <w:rPr>
          <w:b/>
        </w:rPr>
        <w:t xml:space="preserve"> </w:t>
      </w:r>
      <w:r w:rsidR="005A4733">
        <w:t xml:space="preserve">isomer </w:t>
      </w:r>
      <w:r w:rsidR="005A4733" w:rsidRPr="00397E3C">
        <w:rPr>
          <w:b/>
        </w:rPr>
        <w:t xml:space="preserve">4 </w:t>
      </w:r>
      <w:r w:rsidR="005A4733" w:rsidRPr="00F05AF7">
        <w:t xml:space="preserve">was observed </w:t>
      </w:r>
      <w:r w:rsidR="005A4733">
        <w:t>when using higher ratios of DEA. At higher DEA</w:t>
      </w:r>
      <w:proofErr w:type="gramStart"/>
      <w:r w:rsidR="005A4733">
        <w:t>:DMI</w:t>
      </w:r>
      <w:proofErr w:type="gramEnd"/>
      <w:r w:rsidR="005A4733">
        <w:t xml:space="preserve"> (Figure 3, </w:t>
      </w:r>
      <w:r w:rsidR="005A4733" w:rsidRPr="007643BF">
        <w:rPr>
          <w:b/>
        </w:rPr>
        <w:t>B</w:t>
      </w:r>
      <w:r w:rsidR="005A4733">
        <w:t>),</w:t>
      </w:r>
      <w:r w:rsidR="005A4733" w:rsidRPr="00F05AF7">
        <w:t xml:space="preserve"> DMI was consumed faster</w:t>
      </w:r>
      <w:r w:rsidR="005A4733">
        <w:t xml:space="preserve"> by the addition reaction</w:t>
      </w:r>
      <w:r w:rsidR="005A4733" w:rsidRPr="00F05AF7">
        <w:t xml:space="preserve">, </w:t>
      </w:r>
      <w:r w:rsidR="005A4733">
        <w:t>leaving</w:t>
      </w:r>
      <w:r w:rsidR="005A4733" w:rsidRPr="00F05AF7">
        <w:t xml:space="preserve"> less time for the</w:t>
      </w:r>
      <w:r w:rsidR="005A4733">
        <w:t xml:space="preserve"> competing </w:t>
      </w:r>
      <w:proofErr w:type="spellStart"/>
      <w:r w:rsidR="005A4733" w:rsidRPr="00F05AF7">
        <w:t>isomeris</w:t>
      </w:r>
      <w:r w:rsidR="005A4733">
        <w:t>ation</w:t>
      </w:r>
      <w:proofErr w:type="spellEnd"/>
      <w:r w:rsidR="005A4733">
        <w:t xml:space="preserve"> </w:t>
      </w:r>
      <w:r w:rsidR="005A4733" w:rsidRPr="00F05AF7">
        <w:t xml:space="preserve">to </w:t>
      </w:r>
      <w:r w:rsidR="005A4733" w:rsidRPr="009B4088">
        <w:rPr>
          <w:b/>
        </w:rPr>
        <w:t>4</w:t>
      </w:r>
      <w:r w:rsidR="005A4733" w:rsidRPr="00F05AF7">
        <w:t>. It was also observed that, despite the conversion vs. selectivity trends for altered DEA</w:t>
      </w:r>
      <w:proofErr w:type="gramStart"/>
      <w:r w:rsidR="005A4733" w:rsidRPr="00F05AF7">
        <w:t>:</w:t>
      </w:r>
      <w:r w:rsidR="005A4733" w:rsidRPr="00A44FDD">
        <w:t>DMI</w:t>
      </w:r>
      <w:proofErr w:type="gramEnd"/>
      <w:r w:rsidR="005A4733" w:rsidRPr="00A44FDD">
        <w:t xml:space="preserve"> ratio initially being different, after ~55% conversion the trends all appeared to align (Figure 4). It was initially considered possible that the product acted as a basic catalyst in the reaction at conversions &gt;55%. However, upon </w:t>
      </w:r>
      <w:r w:rsidR="005A4733" w:rsidRPr="00F96419">
        <w:t>adding triethylamine to the system, it was found the tertiary amine has no catalytic ability for addition (see Figure S3).</w:t>
      </w:r>
      <w:r w:rsidRPr="00F96419">
        <w:t xml:space="preserve"> It is possible that the excess DEA present was an effective enough catalyst itself that no benefit from TEA was observed. Interestingly when using 100%mol TEA the yield of adduct </w:t>
      </w:r>
      <w:r w:rsidRPr="00F96419">
        <w:rPr>
          <w:b/>
        </w:rPr>
        <w:t>3</w:t>
      </w:r>
      <w:r w:rsidRPr="00F96419">
        <w:t xml:space="preserve"> dropped, this we assumed (and confirmed later) was a result of TEA also catalyzing the isomerization and creating more of the slower reacting </w:t>
      </w:r>
      <w:r w:rsidRPr="00F96419">
        <w:rPr>
          <w:b/>
        </w:rPr>
        <w:t>4</w:t>
      </w:r>
      <w:r w:rsidRPr="00F96419">
        <w:t>.</w:t>
      </w:r>
    </w:p>
    <w:p w14:paraId="6F906507" w14:textId="4AB8AE1D" w:rsidR="005A4733" w:rsidRPr="005A4733" w:rsidRDefault="005A4733" w:rsidP="005A4733">
      <w:pPr>
        <w:pStyle w:val="P1"/>
        <w:rPr>
          <w:sz w:val="14"/>
        </w:rPr>
      </w:pPr>
      <w:r w:rsidRPr="005A4733">
        <w:rPr>
          <w:b/>
          <w:sz w:val="14"/>
        </w:rPr>
        <w:t>Figure 4.</w:t>
      </w:r>
      <w:r w:rsidRPr="005A4733">
        <w:rPr>
          <w:sz w:val="14"/>
        </w:rPr>
        <w:t xml:space="preserve"> </w:t>
      </w:r>
      <w:r w:rsidRPr="005A4733">
        <w:rPr>
          <w:sz w:val="14"/>
          <w:lang w:val="de-DE"/>
        </w:rPr>
        <w:t xml:space="preserve">Effect of changing % selectivity to </w:t>
      </w:r>
      <w:r w:rsidRPr="005A4733">
        <w:rPr>
          <w:b/>
          <w:sz w:val="14"/>
          <w:lang w:val="de-DE"/>
        </w:rPr>
        <w:t>3</w:t>
      </w:r>
      <w:r w:rsidRPr="005A4733">
        <w:rPr>
          <w:sz w:val="14"/>
          <w:lang w:val="de-DE"/>
        </w:rPr>
        <w:t xml:space="preserve"> versus % conversion of DMI. 2.5 mmol DMI, no catalyst, no solvent, 21 ºC, varied DEA:DMI molar ratio</w:t>
      </w:r>
      <w:r w:rsidRPr="005A4733">
        <w:rPr>
          <w:sz w:val="14"/>
        </w:rPr>
        <w:t>.</w:t>
      </w:r>
    </w:p>
    <w:p w14:paraId="25E48198" w14:textId="55FE2F13" w:rsidR="005A4733" w:rsidRDefault="005A4733" w:rsidP="005A4733">
      <w:pPr>
        <w:pStyle w:val="P1"/>
      </w:pPr>
    </w:p>
    <w:p w14:paraId="42722B09" w14:textId="7E7C121B" w:rsidR="005A4733" w:rsidRDefault="00EF67B7" w:rsidP="005A4733">
      <w:pPr>
        <w:pStyle w:val="P1"/>
      </w:pPr>
      <w:r>
        <w:rPr>
          <w:noProof/>
          <w:sz w:val="14"/>
        </w:rPr>
        <w:object w:dxaOrig="1440" w:dyaOrig="1440" w14:anchorId="1BC5B4F1">
          <v:shape id="_x0000_s1072" type="#_x0000_t75" style="position:absolute;left:0;text-align:left;margin-left:0;margin-top:461.2pt;width:243.6pt;height:143.4pt;z-index:251674112;mso-position-horizontal-relative:margin;mso-position-vertical-relative:margin">
            <v:imagedata r:id="rId26" o:title=""/>
            <w10:wrap type="square" anchorx="margin" anchory="margin"/>
          </v:shape>
          <o:OLEObject Type="Embed" ProgID="ChemDraw.Document.6.0" ShapeID="_x0000_s1072" DrawAspect="Content" ObjectID="_1589103330" r:id="rId27"/>
        </w:object>
      </w:r>
      <w:r w:rsidR="005A4733" w:rsidRPr="00F05AF7">
        <w:t>An alternative reasoning for the alignment a</w:t>
      </w:r>
      <w:r w:rsidR="005A4733" w:rsidRPr="00A44FDD">
        <w:t xml:space="preserve">fter 55% conversion in Figure 4 was that the rate determining step at conversions below 55% was the </w:t>
      </w:r>
      <w:proofErr w:type="spellStart"/>
      <w:r w:rsidR="005A4733" w:rsidRPr="00A44FDD">
        <w:t>aza</w:t>
      </w:r>
      <w:proofErr w:type="spellEnd"/>
      <w:r w:rsidR="005A4733" w:rsidRPr="00A44FDD">
        <w:t>-Michael addition (k</w:t>
      </w:r>
      <w:r w:rsidR="005A4733" w:rsidRPr="00A44FDD">
        <w:rPr>
          <w:vertAlign w:val="subscript"/>
        </w:rPr>
        <w:t>1</w:t>
      </w:r>
      <w:r w:rsidR="005A4733" w:rsidRPr="00A44FDD">
        <w:t xml:space="preserve">, Scheme 4), while above a 55% conversion was rate-determined by the </w:t>
      </w:r>
      <w:proofErr w:type="spellStart"/>
      <w:r w:rsidR="005A4733" w:rsidRPr="00A44FDD">
        <w:t>regioisomerisation</w:t>
      </w:r>
      <w:proofErr w:type="spellEnd"/>
      <w:r w:rsidR="005A4733" w:rsidRPr="00A44FDD">
        <w:t xml:space="preserve"> of </w:t>
      </w:r>
      <w:r w:rsidR="005A4733" w:rsidRPr="00A44FDD">
        <w:rPr>
          <w:b/>
        </w:rPr>
        <w:t>4</w:t>
      </w:r>
      <w:r w:rsidR="005A4733" w:rsidRPr="00A44FDD">
        <w:t xml:space="preserve"> (formed in the earlier</w:t>
      </w:r>
      <w:r w:rsidR="005A4733" w:rsidRPr="00F05AF7">
        <w:t xml:space="preserve"> stages of the reaction) back to DMI</w:t>
      </w:r>
      <w:r w:rsidR="005A4733">
        <w:t xml:space="preserve">, prior to its </w:t>
      </w:r>
      <w:proofErr w:type="spellStart"/>
      <w:r w:rsidR="005A4733">
        <w:t>aza</w:t>
      </w:r>
      <w:proofErr w:type="spellEnd"/>
      <w:r w:rsidR="005A4733">
        <w:t>-Michael addition</w:t>
      </w:r>
      <w:r w:rsidR="005A4733" w:rsidRPr="00F05AF7">
        <w:t xml:space="preserve"> (</w:t>
      </w:r>
      <w:r w:rsidR="005A4733">
        <w:t>k</w:t>
      </w:r>
      <w:r w:rsidR="005A4733" w:rsidRPr="000D78DC">
        <w:rPr>
          <w:vertAlign w:val="subscript"/>
        </w:rPr>
        <w:t>2</w:t>
      </w:r>
      <w:r w:rsidR="000A3E51" w:rsidRPr="000A3E51">
        <w:t>*</w:t>
      </w:r>
      <w:r w:rsidR="005A4733">
        <w:t xml:space="preserve">, </w:t>
      </w:r>
      <w:r w:rsidR="005A4733" w:rsidRPr="00A44FDD">
        <w:t>Scheme 4).</w:t>
      </w:r>
    </w:p>
    <w:p w14:paraId="59EC11C1" w14:textId="373A34E6" w:rsidR="00C9071F" w:rsidRDefault="005A4733" w:rsidP="005A4733">
      <w:pPr>
        <w:pStyle w:val="P1"/>
        <w:rPr>
          <w:sz w:val="14"/>
        </w:rPr>
      </w:pPr>
      <w:r w:rsidRPr="005A4733">
        <w:rPr>
          <w:b/>
          <w:sz w:val="14"/>
        </w:rPr>
        <w:t>Scheme 4</w:t>
      </w:r>
      <w:r w:rsidR="00C9071F" w:rsidRPr="005A4733">
        <w:rPr>
          <w:b/>
          <w:sz w:val="14"/>
        </w:rPr>
        <w:t>.</w:t>
      </w:r>
      <w:r w:rsidR="00C9071F" w:rsidRPr="005A4733">
        <w:rPr>
          <w:sz w:val="14"/>
        </w:rPr>
        <w:t xml:space="preserve"> </w:t>
      </w:r>
      <w:r w:rsidRPr="005A4733">
        <w:rPr>
          <w:sz w:val="14"/>
          <w:lang w:val="de-DE"/>
        </w:rPr>
        <w:t xml:space="preserve">Competition between addition of DEA to DMI to form adduct </w:t>
      </w:r>
      <w:r w:rsidRPr="005A4733">
        <w:rPr>
          <w:b/>
          <w:sz w:val="14"/>
          <w:lang w:val="de-DE"/>
        </w:rPr>
        <w:t>3</w:t>
      </w:r>
      <w:r w:rsidRPr="005A4733">
        <w:rPr>
          <w:sz w:val="14"/>
          <w:lang w:val="de-DE"/>
        </w:rPr>
        <w:t xml:space="preserve"> or isomerisation of DMI to mesaconate (</w:t>
      </w:r>
      <w:r w:rsidRPr="005A4733">
        <w:rPr>
          <w:b/>
          <w:sz w:val="14"/>
          <w:lang w:val="de-DE"/>
        </w:rPr>
        <w:t>4</w:t>
      </w:r>
      <w:r w:rsidRPr="005A4733">
        <w:rPr>
          <w:sz w:val="14"/>
          <w:lang w:val="de-DE"/>
        </w:rPr>
        <w:t>) and citraconate (</w:t>
      </w:r>
      <w:r w:rsidRPr="005A4733">
        <w:rPr>
          <w:b/>
          <w:sz w:val="14"/>
          <w:lang w:val="de-DE"/>
        </w:rPr>
        <w:t>5</w:t>
      </w:r>
      <w:r w:rsidRPr="005A4733">
        <w:rPr>
          <w:sz w:val="14"/>
          <w:lang w:val="de-DE"/>
        </w:rPr>
        <w:t>)</w:t>
      </w:r>
      <w:r w:rsidR="00C9071F" w:rsidRPr="005A4733">
        <w:rPr>
          <w:sz w:val="14"/>
        </w:rPr>
        <w:t>.</w:t>
      </w:r>
    </w:p>
    <w:p w14:paraId="1A472D95" w14:textId="77777777" w:rsidR="005A4733" w:rsidRDefault="005A4733" w:rsidP="005A4733">
      <w:pPr>
        <w:pStyle w:val="P1"/>
        <w:rPr>
          <w:rFonts w:eastAsia="SimSun"/>
        </w:rPr>
      </w:pPr>
    </w:p>
    <w:p w14:paraId="4DB6ABEE" w14:textId="003A8E93" w:rsidR="00D74814" w:rsidRDefault="005A4733" w:rsidP="00D74814">
      <w:pPr>
        <w:pStyle w:val="P1"/>
      </w:pPr>
      <w:r>
        <w:rPr>
          <w:rFonts w:eastAsia="SimSun"/>
        </w:rPr>
        <w:t>The data gathered for the reaction profiles above was used to tentatively assess the kinetics of the system. The reaction was not performed in a solvent, therefore changing the DEA</w:t>
      </w:r>
      <w:proofErr w:type="gramStart"/>
      <w:r>
        <w:rPr>
          <w:rFonts w:eastAsia="SimSun"/>
        </w:rPr>
        <w:t>:DMI</w:t>
      </w:r>
      <w:proofErr w:type="gramEnd"/>
      <w:r>
        <w:rPr>
          <w:rFonts w:eastAsia="SimSun"/>
        </w:rPr>
        <w:t xml:space="preserve"> ratio also changed the t</w:t>
      </w:r>
      <w:r w:rsidRPr="006C2C04">
        <w:rPr>
          <w:rFonts w:eastAsia="SimSun"/>
          <w:vertAlign w:val="subscript"/>
        </w:rPr>
        <w:t>0</w:t>
      </w:r>
      <w:r>
        <w:rPr>
          <w:rFonts w:eastAsia="SimSun"/>
        </w:rPr>
        <w:t xml:space="preserve"> concentration of DMI and as such, only a rough assessment of the kinetics is possible. Further to this, DEA was not in adequate excess to be certain that the </w:t>
      </w:r>
      <w:r w:rsidRPr="00880D46">
        <w:rPr>
          <w:rFonts w:eastAsia="SimSun"/>
        </w:rPr>
        <w:t>pseudo first-order principle</w:t>
      </w:r>
      <w:r>
        <w:rPr>
          <w:rFonts w:eastAsia="SimSun"/>
        </w:rPr>
        <w:t xml:space="preserve"> </w:t>
      </w:r>
      <w:r w:rsidR="000A3E51">
        <w:rPr>
          <w:rFonts w:eastAsia="SimSun"/>
        </w:rPr>
        <w:t>was applicable</w:t>
      </w:r>
      <w:r>
        <w:rPr>
          <w:rFonts w:eastAsia="SimSun"/>
        </w:rPr>
        <w:t xml:space="preserve"> to the DMI starting </w:t>
      </w:r>
      <w:r w:rsidRPr="00A44FDD">
        <w:rPr>
          <w:rFonts w:eastAsia="SimSun"/>
        </w:rPr>
        <w:t xml:space="preserve">material. Nevertheless, when plotting the relevant graphs to determine the order of reaction </w:t>
      </w:r>
      <w:r w:rsidR="000A3E51">
        <w:rPr>
          <w:rFonts w:eastAsia="SimSun"/>
        </w:rPr>
        <w:t>with respect to</w:t>
      </w:r>
      <w:r w:rsidRPr="00A44FDD">
        <w:rPr>
          <w:rFonts w:eastAsia="SimSun"/>
        </w:rPr>
        <w:t xml:space="preserve"> DMI in the 8:1 system (Figure S4), it was evident that the reaction has two distinct stages (Figure 5) that are both 1</w:t>
      </w:r>
      <w:r w:rsidRPr="00A44FDD">
        <w:rPr>
          <w:rFonts w:eastAsia="SimSun"/>
          <w:vertAlign w:val="superscript"/>
        </w:rPr>
        <w:t>st</w:t>
      </w:r>
      <w:r w:rsidRPr="00A44FDD">
        <w:rPr>
          <w:rFonts w:eastAsia="SimSun"/>
        </w:rPr>
        <w:t xml:space="preserve"> order to [DMI]. It is postulated that, </w:t>
      </w:r>
      <w:r w:rsidRPr="00A44FDD">
        <w:t xml:space="preserve">stage 1 (0-2 h) is where the </w:t>
      </w:r>
      <w:proofErr w:type="spellStart"/>
      <w:r w:rsidRPr="00A44FDD">
        <w:t>aza</w:t>
      </w:r>
      <w:proofErr w:type="spellEnd"/>
      <w:r w:rsidRPr="00A44FDD">
        <w:t xml:space="preserve">-Michael addition of DEA to </w:t>
      </w:r>
      <w:proofErr w:type="spellStart"/>
      <w:r w:rsidRPr="00A44FDD">
        <w:t>itaconate</w:t>
      </w:r>
      <w:proofErr w:type="spellEnd"/>
      <w:r w:rsidRPr="00A44FDD">
        <w:t xml:space="preserve"> is the rate determining step </w:t>
      </w:r>
      <w:r w:rsidRPr="00A44FDD">
        <w:rPr>
          <w:i/>
        </w:rPr>
        <w:t>k</w:t>
      </w:r>
      <w:r w:rsidRPr="00A44FDD">
        <w:rPr>
          <w:i/>
          <w:vertAlign w:val="subscript"/>
        </w:rPr>
        <w:t xml:space="preserve">1 </w:t>
      </w:r>
      <w:r w:rsidRPr="00A44FDD">
        <w:t xml:space="preserve">(red line), and that stage 2 (9-72 h) is where rate of formation of </w:t>
      </w:r>
      <w:r w:rsidRPr="00A44FDD">
        <w:rPr>
          <w:b/>
        </w:rPr>
        <w:t>3</w:t>
      </w:r>
      <w:r w:rsidRPr="00A44FDD">
        <w:t xml:space="preserve"> is determined by </w:t>
      </w:r>
      <w:proofErr w:type="gramStart"/>
      <w:r w:rsidRPr="00A44FDD">
        <w:rPr>
          <w:i/>
        </w:rPr>
        <w:t>k</w:t>
      </w:r>
      <w:r w:rsidRPr="00A44FDD">
        <w:rPr>
          <w:i/>
          <w:vertAlign w:val="subscript"/>
        </w:rPr>
        <w:t>2</w:t>
      </w:r>
      <w:proofErr w:type="gramEnd"/>
      <w:r w:rsidRPr="00A44FDD">
        <w:rPr>
          <w:i/>
          <w:vertAlign w:val="superscript"/>
        </w:rPr>
        <w:t>*</w:t>
      </w:r>
      <w:r w:rsidRPr="00A44FDD">
        <w:t xml:space="preserve"> </w:t>
      </w:r>
      <w:proofErr w:type="spellStart"/>
      <w:r w:rsidRPr="00A44FDD">
        <w:t>isomerisation</w:t>
      </w:r>
      <w:proofErr w:type="spellEnd"/>
      <w:r w:rsidRPr="00A44FDD">
        <w:t xml:space="preserve"> of </w:t>
      </w:r>
      <w:r w:rsidRPr="00A44FDD">
        <w:rPr>
          <w:b/>
        </w:rPr>
        <w:t>4</w:t>
      </w:r>
      <w:r w:rsidR="000A3E51">
        <w:t xml:space="preserve"> to DMI </w:t>
      </w:r>
      <w:r w:rsidRPr="00A44FDD">
        <w:t xml:space="preserve">(blue line). As such, the initial gradient is a combination of rates for consumption of DMI through both </w:t>
      </w:r>
      <w:proofErr w:type="spellStart"/>
      <w:r w:rsidRPr="00A44FDD">
        <w:t>isomisation</w:t>
      </w:r>
      <w:proofErr w:type="spellEnd"/>
      <w:r w:rsidRPr="00A44FDD">
        <w:t xml:space="preserve"> and the </w:t>
      </w:r>
      <w:proofErr w:type="spellStart"/>
      <w:r w:rsidRPr="00A44FDD">
        <w:t>aza</w:t>
      </w:r>
      <w:proofErr w:type="spellEnd"/>
      <w:r w:rsidRPr="00A44FDD">
        <w:t xml:space="preserve">-Michael addition rate of reaction, where the later gradient instead reflects the formation of DMI from </w:t>
      </w:r>
      <w:r w:rsidRPr="00A44FDD">
        <w:rPr>
          <w:b/>
        </w:rPr>
        <w:t>4</w:t>
      </w:r>
      <w:r w:rsidRPr="00A44FDD">
        <w:t xml:space="preserve"> (</w:t>
      </w:r>
      <w:r w:rsidRPr="00A44FDD">
        <w:rPr>
          <w:i/>
        </w:rPr>
        <w:t>k</w:t>
      </w:r>
      <w:r w:rsidRPr="00A44FDD">
        <w:rPr>
          <w:i/>
          <w:vertAlign w:val="subscript"/>
        </w:rPr>
        <w:t>2</w:t>
      </w:r>
      <w:r w:rsidRPr="00A44FDD">
        <w:rPr>
          <w:i/>
        </w:rPr>
        <w:t>*</w:t>
      </w:r>
      <w:r w:rsidRPr="00A44FDD">
        <w:t>). This would also agree with the reaction profile for the 8:1 DEA</w:t>
      </w:r>
      <w:proofErr w:type="gramStart"/>
      <w:r w:rsidRPr="00A44FDD">
        <w:t>:DMI</w:t>
      </w:r>
      <w:proofErr w:type="gramEnd"/>
      <w:r w:rsidRPr="00A44FDD">
        <w:t xml:space="preserve"> experiment, which seems to clearly indicate rapid formation of </w:t>
      </w:r>
      <w:r w:rsidRPr="00A44FDD">
        <w:rPr>
          <w:b/>
        </w:rPr>
        <w:t>3</w:t>
      </w:r>
      <w:r w:rsidRPr="00A44FDD">
        <w:t xml:space="preserve"> within the first 2 hours, slowing dramatically for the remainder of the experiment (Figure 3, </w:t>
      </w:r>
      <w:r w:rsidRPr="00A44FDD">
        <w:rPr>
          <w:b/>
        </w:rPr>
        <w:t>B</w:t>
      </w:r>
      <w:r w:rsidRPr="00A44FDD">
        <w:t>).</w:t>
      </w:r>
    </w:p>
    <w:p w14:paraId="6D6CF383" w14:textId="751B0E30" w:rsidR="005A4733" w:rsidRDefault="005A4733" w:rsidP="00D74814">
      <w:pPr>
        <w:pStyle w:val="P1"/>
        <w:rPr>
          <w:sz w:val="14"/>
        </w:rPr>
      </w:pPr>
      <w:r w:rsidRPr="00D74814">
        <w:rPr>
          <w:b/>
          <w:sz w:val="14"/>
        </w:rPr>
        <w:t>Figure 5.</w:t>
      </w:r>
      <w:r w:rsidRPr="00D74814">
        <w:rPr>
          <w:sz w:val="14"/>
        </w:rPr>
        <w:t xml:space="preserve"> </w:t>
      </w:r>
      <w:r w:rsidRPr="00D74814">
        <w:rPr>
          <w:sz w:val="14"/>
          <w:lang w:val="de-DE"/>
        </w:rPr>
        <w:t>Plot of ln [DMI] versus time [h] for an 8:1 DEA:DMI ratio, highlighting the two separate rates evident in the Michael addition of DEA to DMI. 2.5 mmol DMI, 20 mmol DEA, no catalyst, no solvent, 21 ºC</w:t>
      </w:r>
      <w:r w:rsidRPr="00D74814">
        <w:rPr>
          <w:sz w:val="14"/>
        </w:rPr>
        <w:t>.</w:t>
      </w:r>
    </w:p>
    <w:p w14:paraId="29FC3FC6" w14:textId="77777777" w:rsidR="00D74814" w:rsidRPr="00D74814" w:rsidRDefault="00D74814" w:rsidP="00D74814">
      <w:pPr>
        <w:pStyle w:val="P1"/>
        <w:rPr>
          <w:sz w:val="14"/>
        </w:rPr>
      </w:pPr>
    </w:p>
    <w:p w14:paraId="394DAA22" w14:textId="77777777" w:rsidR="00212FD6" w:rsidRDefault="00D74814" w:rsidP="005A4733">
      <w:pPr>
        <w:pStyle w:val="P1"/>
        <w:rPr>
          <w:rFonts w:eastAsia="SimSun"/>
        </w:rPr>
      </w:pPr>
      <w:r w:rsidRPr="00A44FDD">
        <w:rPr>
          <w:rFonts w:eastAsia="SimSun"/>
        </w:rPr>
        <w:t xml:space="preserve">By </w:t>
      </w:r>
      <w:r w:rsidR="000A3E51">
        <w:rPr>
          <w:rFonts w:eastAsia="SimSun"/>
        </w:rPr>
        <w:t>splitting the</w:t>
      </w:r>
      <w:r w:rsidRPr="00A44FDD">
        <w:rPr>
          <w:rFonts w:eastAsia="SimSun"/>
        </w:rPr>
        <w:t xml:space="preserve"> kinetic data into 2-stages (0-2 and 9-72 h), 1</w:t>
      </w:r>
      <w:r w:rsidRPr="00A44FDD">
        <w:rPr>
          <w:rFonts w:eastAsia="SimSun"/>
          <w:vertAlign w:val="superscript"/>
        </w:rPr>
        <w:t>st</w:t>
      </w:r>
      <w:r w:rsidRPr="00A44FDD">
        <w:rPr>
          <w:rFonts w:eastAsia="SimSun"/>
        </w:rPr>
        <w:t xml:space="preserve"> order with respect to [DMI] was confirmed to be appropriate for the majority of the other DEA</w:t>
      </w:r>
      <w:proofErr w:type="gramStart"/>
      <w:r w:rsidRPr="00A44FDD">
        <w:rPr>
          <w:rFonts w:eastAsia="SimSun"/>
        </w:rPr>
        <w:t>:DMI</w:t>
      </w:r>
      <w:proofErr w:type="gramEnd"/>
      <w:r w:rsidRPr="00A44FDD">
        <w:rPr>
          <w:rFonts w:eastAsia="SimSun"/>
        </w:rPr>
        <w:t xml:space="preserve"> ratios (Table 1, see Figure S5 and S6 for all plots). However, for the 2:1 DEA</w:t>
      </w:r>
      <w:proofErr w:type="gramStart"/>
      <w:r w:rsidRPr="00A44FDD">
        <w:rPr>
          <w:rFonts w:eastAsia="SimSun"/>
        </w:rPr>
        <w:t>:DMI</w:t>
      </w:r>
      <w:proofErr w:type="gramEnd"/>
      <w:r w:rsidRPr="00A44FDD">
        <w:rPr>
          <w:rFonts w:eastAsia="SimSun"/>
        </w:rPr>
        <w:t xml:space="preserve"> system 1</w:t>
      </w:r>
      <w:r w:rsidRPr="00A44FDD">
        <w:rPr>
          <w:rFonts w:eastAsia="SimSun"/>
          <w:vertAlign w:val="superscript"/>
        </w:rPr>
        <w:t>st</w:t>
      </w:r>
      <w:r w:rsidRPr="00A44FDD">
        <w:rPr>
          <w:rFonts w:eastAsia="SimSun"/>
        </w:rPr>
        <w:t xml:space="preserve"> order with respect to [DMI] displayed non-linear </w:t>
      </w:r>
      <w:proofErr w:type="spellStart"/>
      <w:r w:rsidRPr="00A44FDD">
        <w:rPr>
          <w:rFonts w:eastAsia="SimSun"/>
        </w:rPr>
        <w:t>behaviour</w:t>
      </w:r>
      <w:proofErr w:type="spellEnd"/>
      <w:r w:rsidRPr="00A44FDD">
        <w:rPr>
          <w:rFonts w:eastAsia="SimSun"/>
        </w:rPr>
        <w:t xml:space="preserve"> for stage 2 of the reaction (Figure S6, top left). When considering the proposed progression of the reaction (Scheme 4), this observation would be anticipated, as the second stage of the reaction should instead be controlled by [</w:t>
      </w:r>
      <w:r w:rsidRPr="00A44FDD">
        <w:rPr>
          <w:rFonts w:eastAsia="SimSun"/>
          <w:b/>
        </w:rPr>
        <w:t>4</w:t>
      </w:r>
      <w:r w:rsidRPr="00A44FDD">
        <w:rPr>
          <w:rFonts w:eastAsia="SimSun"/>
        </w:rPr>
        <w:t xml:space="preserve">] and not [DMI]. This becomes especially relevant if we assume that the addition of DEA to DMI is faster than </w:t>
      </w:r>
      <w:proofErr w:type="spellStart"/>
      <w:r w:rsidRPr="00A44FDD">
        <w:rPr>
          <w:rFonts w:eastAsia="SimSun"/>
        </w:rPr>
        <w:t>isomerisation</w:t>
      </w:r>
      <w:proofErr w:type="spellEnd"/>
      <w:r w:rsidRPr="00A44FDD">
        <w:rPr>
          <w:rFonts w:eastAsia="SimSun"/>
        </w:rPr>
        <w:t xml:space="preserve"> of </w:t>
      </w:r>
      <w:r w:rsidRPr="00A44FDD">
        <w:rPr>
          <w:rFonts w:eastAsia="SimSun"/>
          <w:b/>
        </w:rPr>
        <w:t>4</w:t>
      </w:r>
      <w:r w:rsidRPr="00A44FDD">
        <w:rPr>
          <w:rFonts w:eastAsia="SimSun"/>
        </w:rPr>
        <w:t xml:space="preserve"> to DMI, as is indicated both by the reaction profiles in Figure 3 and the kinetic data in Table 1. We therefore assessed the reaction order for stage 2 with respect to [</w:t>
      </w:r>
      <w:r w:rsidRPr="00A44FDD">
        <w:rPr>
          <w:rFonts w:eastAsia="SimSun"/>
          <w:b/>
        </w:rPr>
        <w:t>4</w:t>
      </w:r>
      <w:r w:rsidRPr="00A44FDD">
        <w:rPr>
          <w:rFonts w:eastAsia="SimSun"/>
        </w:rPr>
        <w:t>], in all cases finding this also gives a near linear correlation for 1</w:t>
      </w:r>
      <w:r w:rsidRPr="00A44FDD">
        <w:rPr>
          <w:rFonts w:eastAsia="SimSun"/>
          <w:vertAlign w:val="superscript"/>
        </w:rPr>
        <w:t>st</w:t>
      </w:r>
      <w:r w:rsidRPr="00A44FDD">
        <w:rPr>
          <w:rFonts w:eastAsia="SimSun"/>
        </w:rPr>
        <w:t xml:space="preserve"> order, and is certainly more appropriate for the lower DEA</w:t>
      </w:r>
      <w:proofErr w:type="gramStart"/>
      <w:r w:rsidRPr="00A44FDD">
        <w:rPr>
          <w:rFonts w:eastAsia="SimSun"/>
        </w:rPr>
        <w:t>:DMI</w:t>
      </w:r>
      <w:proofErr w:type="gramEnd"/>
      <w:r w:rsidRPr="00A44FDD">
        <w:rPr>
          <w:rFonts w:eastAsia="SimSun"/>
        </w:rPr>
        <w:t xml:space="preserve"> molar ratios. The other plots for assessment of the order and </w:t>
      </w:r>
      <w:proofErr w:type="spellStart"/>
      <w:r w:rsidRPr="00A44FDD">
        <w:rPr>
          <w:rFonts w:eastAsia="SimSun"/>
        </w:rPr>
        <w:t>k</w:t>
      </w:r>
      <w:r w:rsidRPr="00A44FDD">
        <w:rPr>
          <w:rFonts w:eastAsia="SimSun"/>
          <w:vertAlign w:val="subscript"/>
        </w:rPr>
        <w:t>obs</w:t>
      </w:r>
      <w:proofErr w:type="spellEnd"/>
      <w:r w:rsidRPr="00A44FDD">
        <w:rPr>
          <w:rFonts w:eastAsia="SimSun"/>
        </w:rPr>
        <w:t xml:space="preserve"> are available in Figure S7.</w:t>
      </w:r>
    </w:p>
    <w:tbl>
      <w:tblPr>
        <w:tblW w:w="0" w:type="auto"/>
        <w:tblLook w:val="01E0" w:firstRow="1" w:lastRow="1" w:firstColumn="1" w:lastColumn="1" w:noHBand="0" w:noVBand="0"/>
      </w:tblPr>
      <w:tblGrid>
        <w:gridCol w:w="974"/>
        <w:gridCol w:w="974"/>
        <w:gridCol w:w="887"/>
        <w:gridCol w:w="851"/>
        <w:gridCol w:w="1189"/>
      </w:tblGrid>
      <w:tr w:rsidR="00D74814" w14:paraId="51AFC1E1" w14:textId="77777777" w:rsidTr="00D74814">
        <w:tc>
          <w:tcPr>
            <w:tcW w:w="4875" w:type="dxa"/>
            <w:gridSpan w:val="5"/>
            <w:tcBorders>
              <w:bottom w:val="single" w:sz="8" w:space="0" w:color="auto"/>
            </w:tcBorders>
            <w:shd w:val="clear" w:color="auto" w:fill="auto"/>
          </w:tcPr>
          <w:p w14:paraId="1225DD84" w14:textId="27374593" w:rsidR="00D74814" w:rsidRDefault="00D74814" w:rsidP="00392567">
            <w:pPr>
              <w:pStyle w:val="TableCaption"/>
            </w:pPr>
            <w:r w:rsidRPr="00B11686">
              <w:rPr>
                <w:b/>
              </w:rPr>
              <w:lastRenderedPageBreak/>
              <w:t>Table 1.</w:t>
            </w:r>
            <w:r>
              <w:t xml:space="preserve"> </w:t>
            </w:r>
            <w:r w:rsidRPr="00D74814">
              <w:rPr>
                <w:lang w:val="de-DE"/>
              </w:rPr>
              <w:t>k</w:t>
            </w:r>
            <w:r w:rsidRPr="00D74814">
              <w:rPr>
                <w:vertAlign w:val="subscript"/>
                <w:lang w:val="de-DE"/>
              </w:rPr>
              <w:t>obs</w:t>
            </w:r>
            <w:r w:rsidRPr="00D74814">
              <w:rPr>
                <w:lang w:val="de-DE"/>
              </w:rPr>
              <w:t xml:space="preserve"> for the DEA + DMI aza-Michael addition, with various DEA:DMI molar ratios and 1st order kinetics w.r.t. [DMI]</w:t>
            </w:r>
          </w:p>
        </w:tc>
      </w:tr>
      <w:tr w:rsidR="00D74814" w:rsidRPr="00D74814" w14:paraId="51FB11BC" w14:textId="77777777" w:rsidTr="00D74814">
        <w:tc>
          <w:tcPr>
            <w:tcW w:w="974" w:type="dxa"/>
            <w:tcBorders>
              <w:top w:val="single" w:sz="12" w:space="0" w:color="auto"/>
              <w:bottom w:val="single" w:sz="8" w:space="0" w:color="auto"/>
            </w:tcBorders>
            <w:shd w:val="clear" w:color="auto" w:fill="auto"/>
            <w:vAlign w:val="center"/>
          </w:tcPr>
          <w:p w14:paraId="5EADC607" w14:textId="2ED04FE9" w:rsidR="00D74814" w:rsidRPr="00D74814" w:rsidRDefault="00D74814" w:rsidP="00D74814">
            <w:pPr>
              <w:pStyle w:val="TableHead"/>
              <w:jc w:val="center"/>
            </w:pPr>
            <w:r w:rsidRPr="00D74814">
              <w:rPr>
                <w:szCs w:val="20"/>
              </w:rPr>
              <w:t>DEA:DMI Ratio</w:t>
            </w:r>
          </w:p>
        </w:tc>
        <w:tc>
          <w:tcPr>
            <w:tcW w:w="974" w:type="dxa"/>
            <w:tcBorders>
              <w:top w:val="single" w:sz="12" w:space="0" w:color="auto"/>
              <w:bottom w:val="single" w:sz="8" w:space="0" w:color="auto"/>
            </w:tcBorders>
            <w:shd w:val="clear" w:color="auto" w:fill="auto"/>
            <w:vAlign w:val="center"/>
          </w:tcPr>
          <w:p w14:paraId="4B92ECF5" w14:textId="103618EE" w:rsidR="00D74814" w:rsidRPr="00D74814" w:rsidRDefault="00D74814" w:rsidP="00D74814">
            <w:pPr>
              <w:pStyle w:val="TableHead"/>
              <w:jc w:val="left"/>
            </w:pPr>
            <w:r w:rsidRPr="00D74814">
              <w:rPr>
                <w:szCs w:val="20"/>
              </w:rPr>
              <w:t>Stage of reaction</w:t>
            </w:r>
          </w:p>
        </w:tc>
        <w:tc>
          <w:tcPr>
            <w:tcW w:w="887" w:type="dxa"/>
            <w:tcBorders>
              <w:top w:val="single" w:sz="12" w:space="0" w:color="auto"/>
              <w:bottom w:val="single" w:sz="8" w:space="0" w:color="auto"/>
            </w:tcBorders>
            <w:shd w:val="clear" w:color="auto" w:fill="auto"/>
            <w:vAlign w:val="center"/>
          </w:tcPr>
          <w:p w14:paraId="5E995ADA" w14:textId="39EFBED0" w:rsidR="00D74814" w:rsidRPr="00D74814" w:rsidRDefault="00D74814" w:rsidP="00D74814">
            <w:pPr>
              <w:pStyle w:val="TableHead"/>
              <w:jc w:val="left"/>
            </w:pPr>
            <w:proofErr w:type="spellStart"/>
            <w:r w:rsidRPr="00D74814">
              <w:rPr>
                <w:szCs w:val="20"/>
              </w:rPr>
              <w:t>k</w:t>
            </w:r>
            <w:r w:rsidRPr="00D74814">
              <w:rPr>
                <w:szCs w:val="20"/>
                <w:vertAlign w:val="subscript"/>
              </w:rPr>
              <w:t>obs</w:t>
            </w:r>
            <w:proofErr w:type="spellEnd"/>
            <w:r w:rsidRPr="00D74814">
              <w:rPr>
                <w:szCs w:val="20"/>
              </w:rPr>
              <w:t xml:space="preserve"> x10</w:t>
            </w:r>
            <w:r w:rsidRPr="00D74814">
              <w:rPr>
                <w:szCs w:val="20"/>
                <w:vertAlign w:val="superscript"/>
              </w:rPr>
              <w:t>-6</w:t>
            </w:r>
            <w:r w:rsidRPr="00D74814">
              <w:rPr>
                <w:szCs w:val="20"/>
              </w:rPr>
              <w:t xml:space="preserve"> / s</w:t>
            </w:r>
            <w:r w:rsidRPr="00D74814">
              <w:rPr>
                <w:szCs w:val="20"/>
                <w:vertAlign w:val="superscript"/>
              </w:rPr>
              <w:t>-1</w:t>
            </w:r>
          </w:p>
        </w:tc>
        <w:tc>
          <w:tcPr>
            <w:tcW w:w="851" w:type="dxa"/>
            <w:tcBorders>
              <w:top w:val="single" w:sz="12" w:space="0" w:color="auto"/>
              <w:bottom w:val="single" w:sz="8" w:space="0" w:color="auto"/>
            </w:tcBorders>
            <w:shd w:val="clear" w:color="auto" w:fill="auto"/>
            <w:vAlign w:val="center"/>
          </w:tcPr>
          <w:p w14:paraId="3C3F53F5" w14:textId="3DD96871" w:rsidR="00D74814" w:rsidRPr="00D74814" w:rsidRDefault="00D74814" w:rsidP="00D74814">
            <w:pPr>
              <w:pStyle w:val="TableHead"/>
              <w:jc w:val="left"/>
            </w:pPr>
            <w:r w:rsidRPr="00D74814">
              <w:rPr>
                <w:szCs w:val="20"/>
              </w:rPr>
              <w:t>R</w:t>
            </w:r>
            <w:r w:rsidRPr="00D74814">
              <w:rPr>
                <w:szCs w:val="20"/>
                <w:vertAlign w:val="superscript"/>
              </w:rPr>
              <w:t>2</w:t>
            </w:r>
            <w:r w:rsidRPr="00D74814">
              <w:rPr>
                <w:szCs w:val="20"/>
              </w:rPr>
              <w:t xml:space="preserve"> of 1</w:t>
            </w:r>
            <w:r w:rsidRPr="00D74814">
              <w:rPr>
                <w:szCs w:val="20"/>
                <w:vertAlign w:val="superscript"/>
              </w:rPr>
              <w:t>st</w:t>
            </w:r>
            <w:r w:rsidRPr="00D74814">
              <w:rPr>
                <w:szCs w:val="20"/>
              </w:rPr>
              <w:t xml:space="preserve"> order plot</w:t>
            </w:r>
          </w:p>
        </w:tc>
        <w:tc>
          <w:tcPr>
            <w:tcW w:w="1189" w:type="dxa"/>
            <w:tcBorders>
              <w:top w:val="single" w:sz="12" w:space="0" w:color="auto"/>
              <w:bottom w:val="single" w:sz="8" w:space="0" w:color="auto"/>
            </w:tcBorders>
            <w:vAlign w:val="center"/>
          </w:tcPr>
          <w:p w14:paraId="6484B405" w14:textId="2E49CA27" w:rsidR="00D74814" w:rsidRPr="00D74814" w:rsidRDefault="00D74814" w:rsidP="00D74814">
            <w:pPr>
              <w:pStyle w:val="TableHead"/>
              <w:jc w:val="left"/>
            </w:pPr>
            <w:r>
              <w:rPr>
                <w:szCs w:val="20"/>
                <w:vertAlign w:val="superscript"/>
              </w:rPr>
              <w:t>[</w:t>
            </w:r>
            <w:r w:rsidRPr="00D74814">
              <w:rPr>
                <w:szCs w:val="20"/>
                <w:vertAlign w:val="superscript"/>
              </w:rPr>
              <w:t>a</w:t>
            </w:r>
            <w:r>
              <w:rPr>
                <w:szCs w:val="20"/>
                <w:vertAlign w:val="superscript"/>
              </w:rPr>
              <w:t>]</w:t>
            </w:r>
            <w:r w:rsidRPr="00D74814">
              <w:rPr>
                <w:szCs w:val="20"/>
              </w:rPr>
              <w:t>Rate at t</w:t>
            </w:r>
            <w:r w:rsidRPr="00D74814">
              <w:rPr>
                <w:szCs w:val="20"/>
                <w:vertAlign w:val="subscript"/>
              </w:rPr>
              <w:t>0</w:t>
            </w:r>
            <w:r w:rsidRPr="00D74814">
              <w:rPr>
                <w:szCs w:val="20"/>
              </w:rPr>
              <w:t xml:space="preserve"> x 10</w:t>
            </w:r>
            <w:r w:rsidRPr="00D74814">
              <w:rPr>
                <w:szCs w:val="20"/>
                <w:vertAlign w:val="superscript"/>
              </w:rPr>
              <w:t>-6</w:t>
            </w:r>
            <w:r w:rsidRPr="00D74814">
              <w:rPr>
                <w:szCs w:val="20"/>
              </w:rPr>
              <w:t xml:space="preserve"> /</w:t>
            </w:r>
            <w:r>
              <w:rPr>
                <w:szCs w:val="20"/>
              </w:rPr>
              <w:t xml:space="preserve"> </w:t>
            </w:r>
            <w:proofErr w:type="spellStart"/>
            <w:r w:rsidRPr="00D74814">
              <w:rPr>
                <w:szCs w:val="20"/>
              </w:rPr>
              <w:t>mol</w:t>
            </w:r>
            <w:proofErr w:type="spellEnd"/>
            <w:r w:rsidRPr="00D74814">
              <w:rPr>
                <w:szCs w:val="20"/>
              </w:rPr>
              <w:t xml:space="preserve"> L</w:t>
            </w:r>
            <w:r>
              <w:rPr>
                <w:szCs w:val="20"/>
                <w:vertAlign w:val="superscript"/>
              </w:rPr>
              <w:t>-</w:t>
            </w:r>
            <w:r w:rsidRPr="00D74814">
              <w:rPr>
                <w:szCs w:val="20"/>
                <w:vertAlign w:val="superscript"/>
              </w:rPr>
              <w:t>1</w:t>
            </w:r>
            <w:r w:rsidRPr="00D74814">
              <w:rPr>
                <w:szCs w:val="20"/>
              </w:rPr>
              <w:t xml:space="preserve"> s</w:t>
            </w:r>
            <w:r w:rsidRPr="00D74814">
              <w:rPr>
                <w:szCs w:val="20"/>
                <w:vertAlign w:val="superscript"/>
              </w:rPr>
              <w:t>-1</w:t>
            </w:r>
          </w:p>
        </w:tc>
      </w:tr>
      <w:tr w:rsidR="00D74814" w:rsidRPr="00324724" w14:paraId="1D7256EB" w14:textId="77777777" w:rsidTr="00392567">
        <w:tc>
          <w:tcPr>
            <w:tcW w:w="974" w:type="dxa"/>
            <w:vMerge w:val="restart"/>
            <w:tcBorders>
              <w:top w:val="single" w:sz="4" w:space="0" w:color="auto"/>
              <w:bottom w:val="nil"/>
            </w:tcBorders>
            <w:shd w:val="clear" w:color="auto" w:fill="auto"/>
            <w:vAlign w:val="center"/>
          </w:tcPr>
          <w:p w14:paraId="27E4450C" w14:textId="292A6811" w:rsidR="00D74814" w:rsidRPr="00D74814" w:rsidRDefault="00D74814" w:rsidP="00D74814">
            <w:pPr>
              <w:pStyle w:val="TableBody"/>
              <w:jc w:val="center"/>
              <w:rPr>
                <w:rFonts w:cs="Arial"/>
              </w:rPr>
            </w:pPr>
            <w:r w:rsidRPr="00D74814">
              <w:rPr>
                <w:rFonts w:cs="Arial"/>
              </w:rPr>
              <w:t>2:1</w:t>
            </w:r>
          </w:p>
        </w:tc>
        <w:tc>
          <w:tcPr>
            <w:tcW w:w="974" w:type="dxa"/>
            <w:tcBorders>
              <w:top w:val="single" w:sz="4" w:space="0" w:color="auto"/>
              <w:bottom w:val="nil"/>
            </w:tcBorders>
            <w:shd w:val="clear" w:color="auto" w:fill="auto"/>
            <w:vAlign w:val="center"/>
          </w:tcPr>
          <w:p w14:paraId="7B399879" w14:textId="71D1A1A4" w:rsidR="00D74814" w:rsidRPr="00D74814" w:rsidRDefault="00D74814" w:rsidP="00D74814">
            <w:pPr>
              <w:pStyle w:val="TableBody"/>
              <w:jc w:val="left"/>
              <w:rPr>
                <w:rFonts w:cs="Arial"/>
              </w:rPr>
            </w:pPr>
            <w:r w:rsidRPr="00D74814">
              <w:rPr>
                <w:rFonts w:cs="Arial"/>
              </w:rPr>
              <w:t>1 (0-2 h)</w:t>
            </w:r>
          </w:p>
        </w:tc>
        <w:tc>
          <w:tcPr>
            <w:tcW w:w="887" w:type="dxa"/>
            <w:tcBorders>
              <w:top w:val="single" w:sz="4" w:space="0" w:color="auto"/>
              <w:bottom w:val="nil"/>
            </w:tcBorders>
            <w:shd w:val="clear" w:color="auto" w:fill="auto"/>
            <w:vAlign w:val="center"/>
          </w:tcPr>
          <w:p w14:paraId="6B9B6638" w14:textId="48BF00F1" w:rsidR="00D74814" w:rsidRPr="00D74814" w:rsidRDefault="00D74814" w:rsidP="00D74814">
            <w:pPr>
              <w:pStyle w:val="TableBody"/>
              <w:jc w:val="left"/>
              <w:rPr>
                <w:rFonts w:cs="Arial"/>
              </w:rPr>
            </w:pPr>
            <w:r w:rsidRPr="00D74814">
              <w:rPr>
                <w:rFonts w:cs="Arial"/>
              </w:rPr>
              <w:t>73.2</w:t>
            </w:r>
          </w:p>
        </w:tc>
        <w:tc>
          <w:tcPr>
            <w:tcW w:w="851" w:type="dxa"/>
            <w:tcBorders>
              <w:top w:val="single" w:sz="4" w:space="0" w:color="auto"/>
              <w:bottom w:val="nil"/>
            </w:tcBorders>
            <w:shd w:val="clear" w:color="auto" w:fill="auto"/>
            <w:vAlign w:val="center"/>
          </w:tcPr>
          <w:p w14:paraId="43AD73BF" w14:textId="6291DCF9" w:rsidR="00D74814" w:rsidRPr="00D74814" w:rsidRDefault="00D74814" w:rsidP="00D74814">
            <w:pPr>
              <w:pStyle w:val="TableBody"/>
              <w:jc w:val="left"/>
              <w:rPr>
                <w:rFonts w:cs="Arial"/>
              </w:rPr>
            </w:pPr>
            <w:r w:rsidRPr="00D74814">
              <w:rPr>
                <w:rFonts w:cs="Arial"/>
              </w:rPr>
              <w:t>0.9964</w:t>
            </w:r>
          </w:p>
        </w:tc>
        <w:tc>
          <w:tcPr>
            <w:tcW w:w="1189" w:type="dxa"/>
            <w:tcBorders>
              <w:top w:val="single" w:sz="4" w:space="0" w:color="auto"/>
              <w:bottom w:val="nil"/>
            </w:tcBorders>
            <w:vAlign w:val="center"/>
          </w:tcPr>
          <w:p w14:paraId="703E3489" w14:textId="267C536A" w:rsidR="00D74814" w:rsidRPr="00D74814" w:rsidRDefault="00D74814" w:rsidP="00D74814">
            <w:pPr>
              <w:pStyle w:val="TableBody"/>
              <w:jc w:val="left"/>
              <w:rPr>
                <w:rFonts w:cs="Arial"/>
              </w:rPr>
            </w:pPr>
            <w:r w:rsidRPr="00D74814">
              <w:rPr>
                <w:rFonts w:cs="Arial"/>
              </w:rPr>
              <w:t>202.8</w:t>
            </w:r>
          </w:p>
        </w:tc>
      </w:tr>
      <w:tr w:rsidR="00D74814" w:rsidRPr="00324724" w14:paraId="7CDD3657" w14:textId="77777777" w:rsidTr="00392567">
        <w:tc>
          <w:tcPr>
            <w:tcW w:w="974" w:type="dxa"/>
            <w:vMerge/>
            <w:tcBorders>
              <w:top w:val="nil"/>
              <w:bottom w:val="nil"/>
            </w:tcBorders>
            <w:shd w:val="clear" w:color="auto" w:fill="auto"/>
            <w:vAlign w:val="center"/>
          </w:tcPr>
          <w:p w14:paraId="11AC83B2" w14:textId="77777777" w:rsidR="00D74814" w:rsidRPr="00D74814" w:rsidRDefault="00D74814" w:rsidP="00D74814">
            <w:pPr>
              <w:pStyle w:val="TableBody"/>
              <w:rPr>
                <w:rFonts w:cs="Arial"/>
              </w:rPr>
            </w:pPr>
          </w:p>
        </w:tc>
        <w:tc>
          <w:tcPr>
            <w:tcW w:w="974" w:type="dxa"/>
            <w:tcBorders>
              <w:top w:val="nil"/>
              <w:bottom w:val="nil"/>
            </w:tcBorders>
            <w:shd w:val="clear" w:color="auto" w:fill="auto"/>
            <w:vAlign w:val="center"/>
          </w:tcPr>
          <w:p w14:paraId="22450394" w14:textId="0A98C0A9" w:rsidR="00D74814" w:rsidRPr="00D74814" w:rsidRDefault="00D74814" w:rsidP="00D74814">
            <w:pPr>
              <w:pStyle w:val="TableBody"/>
              <w:jc w:val="left"/>
              <w:rPr>
                <w:rFonts w:cs="Arial"/>
              </w:rPr>
            </w:pPr>
            <w:r w:rsidRPr="00D74814">
              <w:rPr>
                <w:rFonts w:cs="Arial"/>
              </w:rPr>
              <w:t>2 (9-72 h)</w:t>
            </w:r>
          </w:p>
        </w:tc>
        <w:tc>
          <w:tcPr>
            <w:tcW w:w="887" w:type="dxa"/>
            <w:tcBorders>
              <w:top w:val="nil"/>
              <w:bottom w:val="nil"/>
            </w:tcBorders>
            <w:shd w:val="clear" w:color="auto" w:fill="auto"/>
            <w:vAlign w:val="center"/>
          </w:tcPr>
          <w:p w14:paraId="4CA71C48" w14:textId="2123BAE2" w:rsidR="00D74814" w:rsidRPr="00D74814" w:rsidRDefault="00D74814" w:rsidP="00D74814">
            <w:pPr>
              <w:pStyle w:val="TableBody"/>
              <w:jc w:val="left"/>
              <w:rPr>
                <w:rFonts w:cs="Arial"/>
              </w:rPr>
            </w:pPr>
            <w:r w:rsidRPr="00D74814">
              <w:rPr>
                <w:rFonts w:cs="Arial"/>
              </w:rPr>
              <w:t>5.4</w:t>
            </w:r>
          </w:p>
        </w:tc>
        <w:tc>
          <w:tcPr>
            <w:tcW w:w="851" w:type="dxa"/>
            <w:tcBorders>
              <w:top w:val="nil"/>
              <w:bottom w:val="nil"/>
            </w:tcBorders>
            <w:shd w:val="clear" w:color="auto" w:fill="auto"/>
            <w:vAlign w:val="center"/>
          </w:tcPr>
          <w:p w14:paraId="41F4D5FD" w14:textId="72C53F5F" w:rsidR="00D74814" w:rsidRPr="00D74814" w:rsidRDefault="00D74814" w:rsidP="00D74814">
            <w:pPr>
              <w:pStyle w:val="TableBody"/>
              <w:jc w:val="left"/>
              <w:rPr>
                <w:rFonts w:cs="Arial"/>
              </w:rPr>
            </w:pPr>
            <w:r w:rsidRPr="00D74814">
              <w:rPr>
                <w:rFonts w:cs="Arial"/>
              </w:rPr>
              <w:t>0.8677</w:t>
            </w:r>
          </w:p>
        </w:tc>
        <w:tc>
          <w:tcPr>
            <w:tcW w:w="1189" w:type="dxa"/>
            <w:tcBorders>
              <w:top w:val="nil"/>
              <w:bottom w:val="nil"/>
            </w:tcBorders>
            <w:vAlign w:val="center"/>
          </w:tcPr>
          <w:p w14:paraId="68C230F6" w14:textId="141D2676" w:rsidR="00D74814" w:rsidRPr="00D74814" w:rsidRDefault="00D74814" w:rsidP="00D74814">
            <w:pPr>
              <w:pStyle w:val="TableBody"/>
              <w:jc w:val="left"/>
              <w:rPr>
                <w:rFonts w:cs="Arial"/>
              </w:rPr>
            </w:pPr>
            <w:r w:rsidRPr="00D74814">
              <w:rPr>
                <w:rFonts w:cs="Arial"/>
              </w:rPr>
              <w:t>2.8</w:t>
            </w:r>
          </w:p>
        </w:tc>
      </w:tr>
      <w:tr w:rsidR="00D74814" w:rsidRPr="00324724" w14:paraId="7FAA4B5F" w14:textId="77777777" w:rsidTr="00392567">
        <w:tc>
          <w:tcPr>
            <w:tcW w:w="974" w:type="dxa"/>
            <w:vMerge/>
            <w:tcBorders>
              <w:top w:val="nil"/>
              <w:bottom w:val="single" w:sz="4" w:space="0" w:color="auto"/>
            </w:tcBorders>
            <w:shd w:val="clear" w:color="auto" w:fill="auto"/>
            <w:vAlign w:val="center"/>
          </w:tcPr>
          <w:p w14:paraId="5FDCA8DA" w14:textId="77777777" w:rsidR="00D74814" w:rsidRPr="00D74814" w:rsidRDefault="00D74814" w:rsidP="00D74814">
            <w:pPr>
              <w:pStyle w:val="TableBody"/>
              <w:rPr>
                <w:rFonts w:cs="Arial"/>
              </w:rPr>
            </w:pPr>
          </w:p>
        </w:tc>
        <w:tc>
          <w:tcPr>
            <w:tcW w:w="974" w:type="dxa"/>
            <w:tcBorders>
              <w:top w:val="nil"/>
              <w:bottom w:val="single" w:sz="4" w:space="0" w:color="auto"/>
            </w:tcBorders>
            <w:shd w:val="clear" w:color="auto" w:fill="auto"/>
            <w:vAlign w:val="center"/>
          </w:tcPr>
          <w:p w14:paraId="2F46956D" w14:textId="26A8C641" w:rsidR="00D74814" w:rsidRPr="00D74814" w:rsidRDefault="00D74814" w:rsidP="00D74814">
            <w:pPr>
              <w:pStyle w:val="TableBody"/>
              <w:jc w:val="left"/>
              <w:rPr>
                <w:rFonts w:cs="Arial"/>
              </w:rPr>
            </w:pPr>
            <w:r w:rsidRPr="00D74814">
              <w:rPr>
                <w:rFonts w:cs="Arial"/>
              </w:rPr>
              <w:t>2</w:t>
            </w:r>
            <w:r w:rsidRPr="00D74814">
              <w:rPr>
                <w:rFonts w:cs="Arial"/>
                <w:vertAlign w:val="superscript"/>
              </w:rPr>
              <w:t>[b</w:t>
            </w:r>
            <w:r>
              <w:rPr>
                <w:rFonts w:cs="Arial"/>
                <w:vertAlign w:val="superscript"/>
              </w:rPr>
              <w:t>]</w:t>
            </w:r>
          </w:p>
        </w:tc>
        <w:tc>
          <w:tcPr>
            <w:tcW w:w="887" w:type="dxa"/>
            <w:tcBorders>
              <w:top w:val="nil"/>
              <w:bottom w:val="single" w:sz="4" w:space="0" w:color="auto"/>
            </w:tcBorders>
            <w:shd w:val="clear" w:color="auto" w:fill="auto"/>
            <w:vAlign w:val="center"/>
          </w:tcPr>
          <w:p w14:paraId="41DF5575" w14:textId="2269A897" w:rsidR="00D74814" w:rsidRPr="00D74814" w:rsidRDefault="00D74814" w:rsidP="00D74814">
            <w:pPr>
              <w:pStyle w:val="TableBody"/>
              <w:jc w:val="left"/>
              <w:rPr>
                <w:rFonts w:cs="Arial"/>
              </w:rPr>
            </w:pPr>
            <w:r w:rsidRPr="00D74814">
              <w:rPr>
                <w:rFonts w:cs="Arial"/>
              </w:rPr>
              <w:t>2.6</w:t>
            </w:r>
          </w:p>
        </w:tc>
        <w:tc>
          <w:tcPr>
            <w:tcW w:w="851" w:type="dxa"/>
            <w:tcBorders>
              <w:top w:val="nil"/>
              <w:bottom w:val="single" w:sz="4" w:space="0" w:color="auto"/>
            </w:tcBorders>
            <w:shd w:val="clear" w:color="auto" w:fill="auto"/>
            <w:vAlign w:val="center"/>
          </w:tcPr>
          <w:p w14:paraId="2FDE41B2" w14:textId="4A756E50" w:rsidR="00D74814" w:rsidRPr="00D74814" w:rsidRDefault="00D74814" w:rsidP="00D74814">
            <w:pPr>
              <w:pStyle w:val="TableBody"/>
              <w:jc w:val="left"/>
              <w:rPr>
                <w:rFonts w:cs="Arial"/>
              </w:rPr>
            </w:pPr>
            <w:r w:rsidRPr="00D74814">
              <w:rPr>
                <w:rFonts w:cs="Arial"/>
              </w:rPr>
              <w:t>0.9896</w:t>
            </w:r>
          </w:p>
        </w:tc>
        <w:tc>
          <w:tcPr>
            <w:tcW w:w="1189" w:type="dxa"/>
            <w:tcBorders>
              <w:top w:val="nil"/>
              <w:bottom w:val="single" w:sz="4" w:space="0" w:color="auto"/>
            </w:tcBorders>
            <w:vAlign w:val="center"/>
          </w:tcPr>
          <w:p w14:paraId="7C8B1B7B" w14:textId="1615DB84" w:rsidR="00D74814" w:rsidRPr="00D74814" w:rsidRDefault="00D74814" w:rsidP="00D74814">
            <w:pPr>
              <w:pStyle w:val="TableBody"/>
              <w:jc w:val="left"/>
              <w:rPr>
                <w:rFonts w:cs="Arial"/>
              </w:rPr>
            </w:pPr>
            <w:r w:rsidRPr="00D74814">
              <w:rPr>
                <w:rFonts w:cs="Arial"/>
              </w:rPr>
              <w:t>3.8</w:t>
            </w:r>
          </w:p>
        </w:tc>
      </w:tr>
      <w:tr w:rsidR="00D74814" w:rsidRPr="00324724" w14:paraId="5A48B97D" w14:textId="77777777" w:rsidTr="00392567">
        <w:tc>
          <w:tcPr>
            <w:tcW w:w="974" w:type="dxa"/>
            <w:vMerge w:val="restart"/>
            <w:tcBorders>
              <w:top w:val="single" w:sz="4" w:space="0" w:color="auto"/>
              <w:bottom w:val="nil"/>
            </w:tcBorders>
            <w:shd w:val="clear" w:color="auto" w:fill="auto"/>
            <w:vAlign w:val="center"/>
          </w:tcPr>
          <w:p w14:paraId="431A67EF" w14:textId="5F93125F" w:rsidR="00D74814" w:rsidRPr="00D74814" w:rsidRDefault="00D74814" w:rsidP="00D74814">
            <w:pPr>
              <w:pStyle w:val="TableBody"/>
              <w:jc w:val="center"/>
              <w:rPr>
                <w:rFonts w:cs="Arial"/>
              </w:rPr>
            </w:pPr>
            <w:r w:rsidRPr="00D74814">
              <w:rPr>
                <w:rFonts w:cs="Arial"/>
              </w:rPr>
              <w:t>4:1</w:t>
            </w:r>
          </w:p>
        </w:tc>
        <w:tc>
          <w:tcPr>
            <w:tcW w:w="974" w:type="dxa"/>
            <w:tcBorders>
              <w:top w:val="single" w:sz="4" w:space="0" w:color="auto"/>
              <w:bottom w:val="nil"/>
            </w:tcBorders>
            <w:shd w:val="clear" w:color="auto" w:fill="auto"/>
            <w:vAlign w:val="center"/>
          </w:tcPr>
          <w:p w14:paraId="67120F5E" w14:textId="2834A1ED" w:rsidR="00D74814" w:rsidRPr="00D74814" w:rsidRDefault="00D74814" w:rsidP="00D74814">
            <w:pPr>
              <w:pStyle w:val="TableBody"/>
              <w:jc w:val="left"/>
              <w:rPr>
                <w:rFonts w:cs="Arial"/>
              </w:rPr>
            </w:pPr>
            <w:r w:rsidRPr="00D74814">
              <w:rPr>
                <w:rFonts w:cs="Arial"/>
              </w:rPr>
              <w:t>1</w:t>
            </w:r>
          </w:p>
        </w:tc>
        <w:tc>
          <w:tcPr>
            <w:tcW w:w="887" w:type="dxa"/>
            <w:tcBorders>
              <w:top w:val="single" w:sz="4" w:space="0" w:color="auto"/>
              <w:bottom w:val="nil"/>
            </w:tcBorders>
            <w:shd w:val="clear" w:color="auto" w:fill="auto"/>
            <w:vAlign w:val="center"/>
          </w:tcPr>
          <w:p w14:paraId="3AE4774B" w14:textId="0634CBA8" w:rsidR="00D74814" w:rsidRPr="00D74814" w:rsidRDefault="00D74814" w:rsidP="00D74814">
            <w:pPr>
              <w:pStyle w:val="TableBody"/>
              <w:jc w:val="left"/>
              <w:rPr>
                <w:rFonts w:cs="Arial"/>
              </w:rPr>
            </w:pPr>
            <w:r w:rsidRPr="00D74814">
              <w:rPr>
                <w:rFonts w:cs="Arial"/>
              </w:rPr>
              <w:t>108.1</w:t>
            </w:r>
          </w:p>
        </w:tc>
        <w:tc>
          <w:tcPr>
            <w:tcW w:w="851" w:type="dxa"/>
            <w:tcBorders>
              <w:top w:val="single" w:sz="4" w:space="0" w:color="auto"/>
              <w:bottom w:val="nil"/>
            </w:tcBorders>
            <w:shd w:val="clear" w:color="auto" w:fill="auto"/>
            <w:vAlign w:val="center"/>
          </w:tcPr>
          <w:p w14:paraId="69C15288" w14:textId="3275953E" w:rsidR="00D74814" w:rsidRPr="00D74814" w:rsidRDefault="00D74814" w:rsidP="00D74814">
            <w:pPr>
              <w:pStyle w:val="TableBody"/>
              <w:jc w:val="left"/>
              <w:rPr>
                <w:rFonts w:cs="Arial"/>
              </w:rPr>
            </w:pPr>
            <w:r w:rsidRPr="00D74814">
              <w:rPr>
                <w:rFonts w:cs="Arial"/>
              </w:rPr>
              <w:t>0.9976</w:t>
            </w:r>
          </w:p>
        </w:tc>
        <w:tc>
          <w:tcPr>
            <w:tcW w:w="1189" w:type="dxa"/>
            <w:tcBorders>
              <w:top w:val="single" w:sz="4" w:space="0" w:color="auto"/>
              <w:bottom w:val="nil"/>
            </w:tcBorders>
            <w:vAlign w:val="center"/>
          </w:tcPr>
          <w:p w14:paraId="388826E4" w14:textId="63EB419D" w:rsidR="00D74814" w:rsidRPr="00D74814" w:rsidRDefault="00D74814" w:rsidP="00D74814">
            <w:pPr>
              <w:pStyle w:val="TableBody"/>
              <w:jc w:val="left"/>
              <w:rPr>
                <w:rFonts w:cs="Arial"/>
              </w:rPr>
            </w:pPr>
            <w:r w:rsidRPr="00D74814">
              <w:rPr>
                <w:rFonts w:cs="Arial"/>
              </w:rPr>
              <w:t>288.1</w:t>
            </w:r>
          </w:p>
        </w:tc>
      </w:tr>
      <w:tr w:rsidR="00D74814" w:rsidRPr="00324724" w14:paraId="5BC9E119" w14:textId="77777777" w:rsidTr="00392567">
        <w:tc>
          <w:tcPr>
            <w:tcW w:w="974" w:type="dxa"/>
            <w:vMerge/>
            <w:tcBorders>
              <w:top w:val="nil"/>
              <w:bottom w:val="nil"/>
            </w:tcBorders>
            <w:shd w:val="clear" w:color="auto" w:fill="auto"/>
            <w:vAlign w:val="center"/>
          </w:tcPr>
          <w:p w14:paraId="22BF3F47" w14:textId="77777777" w:rsidR="00D74814" w:rsidRPr="00D74814" w:rsidRDefault="00D74814" w:rsidP="00D74814">
            <w:pPr>
              <w:pStyle w:val="TableBody"/>
              <w:rPr>
                <w:rFonts w:cs="Arial"/>
              </w:rPr>
            </w:pPr>
          </w:p>
        </w:tc>
        <w:tc>
          <w:tcPr>
            <w:tcW w:w="974" w:type="dxa"/>
            <w:tcBorders>
              <w:top w:val="nil"/>
              <w:bottom w:val="nil"/>
            </w:tcBorders>
            <w:shd w:val="clear" w:color="auto" w:fill="auto"/>
            <w:vAlign w:val="center"/>
          </w:tcPr>
          <w:p w14:paraId="1DEB3C85" w14:textId="534118EC" w:rsidR="00D74814" w:rsidRPr="00D74814" w:rsidRDefault="00D74814" w:rsidP="00D74814">
            <w:pPr>
              <w:pStyle w:val="TableBody"/>
              <w:jc w:val="left"/>
              <w:rPr>
                <w:rFonts w:cs="Arial"/>
              </w:rPr>
            </w:pPr>
            <w:r w:rsidRPr="00D74814">
              <w:rPr>
                <w:rFonts w:cs="Arial"/>
              </w:rPr>
              <w:t>2</w:t>
            </w:r>
          </w:p>
        </w:tc>
        <w:tc>
          <w:tcPr>
            <w:tcW w:w="887" w:type="dxa"/>
            <w:tcBorders>
              <w:top w:val="nil"/>
              <w:bottom w:val="nil"/>
            </w:tcBorders>
            <w:shd w:val="clear" w:color="auto" w:fill="auto"/>
            <w:vAlign w:val="center"/>
          </w:tcPr>
          <w:p w14:paraId="647D76DB" w14:textId="0365FD5D" w:rsidR="00D74814" w:rsidRPr="00D74814" w:rsidRDefault="00D74814" w:rsidP="00D74814">
            <w:pPr>
              <w:pStyle w:val="TableBody"/>
              <w:jc w:val="left"/>
              <w:rPr>
                <w:rFonts w:cs="Arial"/>
              </w:rPr>
            </w:pPr>
            <w:r w:rsidRPr="00D74814">
              <w:rPr>
                <w:rFonts w:cs="Arial"/>
              </w:rPr>
              <w:t>9.3</w:t>
            </w:r>
          </w:p>
        </w:tc>
        <w:tc>
          <w:tcPr>
            <w:tcW w:w="851" w:type="dxa"/>
            <w:tcBorders>
              <w:top w:val="nil"/>
              <w:bottom w:val="nil"/>
            </w:tcBorders>
            <w:shd w:val="clear" w:color="auto" w:fill="auto"/>
            <w:vAlign w:val="center"/>
          </w:tcPr>
          <w:p w14:paraId="3C45A6C5" w14:textId="7AB59446" w:rsidR="00D74814" w:rsidRPr="00D74814" w:rsidRDefault="00D74814" w:rsidP="00D74814">
            <w:pPr>
              <w:pStyle w:val="TableBody"/>
              <w:jc w:val="left"/>
              <w:rPr>
                <w:rFonts w:cs="Arial"/>
              </w:rPr>
            </w:pPr>
            <w:r w:rsidRPr="00D74814">
              <w:rPr>
                <w:rFonts w:cs="Arial"/>
              </w:rPr>
              <w:t>0.9923</w:t>
            </w:r>
          </w:p>
        </w:tc>
        <w:tc>
          <w:tcPr>
            <w:tcW w:w="1189" w:type="dxa"/>
            <w:tcBorders>
              <w:top w:val="nil"/>
              <w:bottom w:val="nil"/>
            </w:tcBorders>
            <w:vAlign w:val="center"/>
          </w:tcPr>
          <w:p w14:paraId="571BAD08" w14:textId="23064A2D" w:rsidR="00D74814" w:rsidRPr="00D74814" w:rsidRDefault="00D74814" w:rsidP="00D74814">
            <w:pPr>
              <w:pStyle w:val="TableBody"/>
              <w:jc w:val="left"/>
              <w:rPr>
                <w:rFonts w:cs="Arial"/>
              </w:rPr>
            </w:pPr>
            <w:r w:rsidRPr="00D74814">
              <w:rPr>
                <w:rFonts w:cs="Arial"/>
              </w:rPr>
              <w:t>3.0</w:t>
            </w:r>
          </w:p>
        </w:tc>
      </w:tr>
      <w:tr w:rsidR="00D74814" w:rsidRPr="00324724" w14:paraId="71B66E86" w14:textId="77777777" w:rsidTr="00392567">
        <w:tc>
          <w:tcPr>
            <w:tcW w:w="974" w:type="dxa"/>
            <w:vMerge/>
            <w:tcBorders>
              <w:top w:val="nil"/>
              <w:bottom w:val="single" w:sz="4" w:space="0" w:color="auto"/>
            </w:tcBorders>
            <w:shd w:val="clear" w:color="auto" w:fill="auto"/>
            <w:vAlign w:val="center"/>
          </w:tcPr>
          <w:p w14:paraId="6ACD6A13" w14:textId="77777777" w:rsidR="00D74814" w:rsidRPr="00D74814" w:rsidRDefault="00D74814" w:rsidP="00D74814">
            <w:pPr>
              <w:pStyle w:val="TableBody"/>
              <w:rPr>
                <w:rFonts w:cs="Arial"/>
              </w:rPr>
            </w:pPr>
          </w:p>
        </w:tc>
        <w:tc>
          <w:tcPr>
            <w:tcW w:w="974" w:type="dxa"/>
            <w:tcBorders>
              <w:top w:val="nil"/>
              <w:bottom w:val="single" w:sz="4" w:space="0" w:color="auto"/>
            </w:tcBorders>
            <w:shd w:val="clear" w:color="auto" w:fill="auto"/>
            <w:vAlign w:val="center"/>
          </w:tcPr>
          <w:p w14:paraId="656B4D9E" w14:textId="69CF567E" w:rsidR="00D74814" w:rsidRPr="00D74814" w:rsidRDefault="00D74814" w:rsidP="00D74814">
            <w:pPr>
              <w:pStyle w:val="TableBody"/>
              <w:jc w:val="left"/>
              <w:rPr>
                <w:rFonts w:cs="Arial"/>
              </w:rPr>
            </w:pPr>
            <w:r w:rsidRPr="00D74814">
              <w:rPr>
                <w:rFonts w:cs="Arial"/>
              </w:rPr>
              <w:t>2</w:t>
            </w:r>
            <w:r w:rsidRPr="00D74814">
              <w:rPr>
                <w:rFonts w:cs="Arial"/>
                <w:vertAlign w:val="superscript"/>
              </w:rPr>
              <w:t>[b</w:t>
            </w:r>
            <w:r>
              <w:rPr>
                <w:rFonts w:cs="Arial"/>
                <w:vertAlign w:val="superscript"/>
              </w:rPr>
              <w:t>]</w:t>
            </w:r>
          </w:p>
        </w:tc>
        <w:tc>
          <w:tcPr>
            <w:tcW w:w="887" w:type="dxa"/>
            <w:tcBorders>
              <w:top w:val="nil"/>
              <w:bottom w:val="single" w:sz="4" w:space="0" w:color="auto"/>
            </w:tcBorders>
            <w:shd w:val="clear" w:color="auto" w:fill="auto"/>
            <w:vAlign w:val="center"/>
          </w:tcPr>
          <w:p w14:paraId="608D83D5" w14:textId="316EB67A" w:rsidR="00D74814" w:rsidRPr="00D74814" w:rsidRDefault="00D74814" w:rsidP="00D74814">
            <w:pPr>
              <w:pStyle w:val="TableBody"/>
              <w:jc w:val="left"/>
              <w:rPr>
                <w:rFonts w:cs="Arial"/>
              </w:rPr>
            </w:pPr>
            <w:r w:rsidRPr="00D74814">
              <w:rPr>
                <w:rFonts w:cs="Arial"/>
              </w:rPr>
              <w:t>5.8</w:t>
            </w:r>
          </w:p>
        </w:tc>
        <w:tc>
          <w:tcPr>
            <w:tcW w:w="851" w:type="dxa"/>
            <w:tcBorders>
              <w:top w:val="nil"/>
              <w:bottom w:val="single" w:sz="4" w:space="0" w:color="auto"/>
            </w:tcBorders>
            <w:shd w:val="clear" w:color="auto" w:fill="auto"/>
            <w:vAlign w:val="center"/>
          </w:tcPr>
          <w:p w14:paraId="30076FA0" w14:textId="7F5B34C4" w:rsidR="00D74814" w:rsidRPr="00D74814" w:rsidRDefault="00D74814" w:rsidP="00D74814">
            <w:pPr>
              <w:pStyle w:val="TableBody"/>
              <w:jc w:val="left"/>
              <w:rPr>
                <w:rFonts w:cs="Arial"/>
              </w:rPr>
            </w:pPr>
            <w:r w:rsidRPr="00D74814">
              <w:rPr>
                <w:rFonts w:cs="Arial"/>
              </w:rPr>
              <w:t>0.9937</w:t>
            </w:r>
          </w:p>
        </w:tc>
        <w:tc>
          <w:tcPr>
            <w:tcW w:w="1189" w:type="dxa"/>
            <w:tcBorders>
              <w:top w:val="nil"/>
              <w:bottom w:val="single" w:sz="4" w:space="0" w:color="auto"/>
            </w:tcBorders>
            <w:vAlign w:val="center"/>
          </w:tcPr>
          <w:p w14:paraId="28522086" w14:textId="69044A39" w:rsidR="00D74814" w:rsidRPr="00D74814" w:rsidRDefault="00D74814" w:rsidP="00D74814">
            <w:pPr>
              <w:pStyle w:val="TableBody"/>
              <w:jc w:val="left"/>
              <w:rPr>
                <w:rFonts w:cs="Arial"/>
              </w:rPr>
            </w:pPr>
            <w:r w:rsidRPr="00D74814">
              <w:rPr>
                <w:rFonts w:cs="Arial"/>
              </w:rPr>
              <w:t>7.9</w:t>
            </w:r>
          </w:p>
        </w:tc>
      </w:tr>
      <w:tr w:rsidR="00D74814" w:rsidRPr="00324724" w14:paraId="4ED775DD" w14:textId="77777777" w:rsidTr="00392567">
        <w:tc>
          <w:tcPr>
            <w:tcW w:w="974" w:type="dxa"/>
            <w:vMerge w:val="restart"/>
            <w:tcBorders>
              <w:top w:val="single" w:sz="4" w:space="0" w:color="auto"/>
              <w:bottom w:val="nil"/>
            </w:tcBorders>
            <w:shd w:val="clear" w:color="auto" w:fill="auto"/>
            <w:vAlign w:val="center"/>
          </w:tcPr>
          <w:p w14:paraId="0AE5EEDB" w14:textId="64A052D5" w:rsidR="00D74814" w:rsidRPr="00D74814" w:rsidRDefault="00D74814" w:rsidP="00D74814">
            <w:pPr>
              <w:pStyle w:val="TableBody"/>
              <w:jc w:val="center"/>
              <w:rPr>
                <w:rFonts w:cs="Arial"/>
              </w:rPr>
            </w:pPr>
            <w:r w:rsidRPr="00D74814">
              <w:rPr>
                <w:rFonts w:cs="Arial"/>
              </w:rPr>
              <w:t>6:1</w:t>
            </w:r>
          </w:p>
        </w:tc>
        <w:tc>
          <w:tcPr>
            <w:tcW w:w="974" w:type="dxa"/>
            <w:tcBorders>
              <w:top w:val="single" w:sz="4" w:space="0" w:color="auto"/>
              <w:bottom w:val="nil"/>
            </w:tcBorders>
            <w:shd w:val="clear" w:color="auto" w:fill="auto"/>
            <w:vAlign w:val="center"/>
          </w:tcPr>
          <w:p w14:paraId="3208F0D8" w14:textId="7596A552" w:rsidR="00D74814" w:rsidRPr="00D74814" w:rsidRDefault="00D74814" w:rsidP="00D74814">
            <w:pPr>
              <w:pStyle w:val="TableBody"/>
              <w:jc w:val="left"/>
              <w:rPr>
                <w:rFonts w:cs="Arial"/>
              </w:rPr>
            </w:pPr>
            <w:r w:rsidRPr="00D74814">
              <w:rPr>
                <w:rFonts w:cs="Arial"/>
              </w:rPr>
              <w:t>1</w:t>
            </w:r>
          </w:p>
        </w:tc>
        <w:tc>
          <w:tcPr>
            <w:tcW w:w="887" w:type="dxa"/>
            <w:tcBorders>
              <w:top w:val="single" w:sz="4" w:space="0" w:color="auto"/>
              <w:bottom w:val="nil"/>
            </w:tcBorders>
            <w:shd w:val="clear" w:color="auto" w:fill="auto"/>
            <w:vAlign w:val="center"/>
          </w:tcPr>
          <w:p w14:paraId="1C0C6B88" w14:textId="2F5122DE" w:rsidR="00D74814" w:rsidRPr="00D74814" w:rsidRDefault="00D74814" w:rsidP="00D74814">
            <w:pPr>
              <w:pStyle w:val="TableBody"/>
              <w:jc w:val="left"/>
              <w:rPr>
                <w:rFonts w:cs="Arial"/>
              </w:rPr>
            </w:pPr>
            <w:r w:rsidRPr="00D74814">
              <w:rPr>
                <w:rFonts w:cs="Arial"/>
              </w:rPr>
              <w:t>121.5</w:t>
            </w:r>
          </w:p>
        </w:tc>
        <w:tc>
          <w:tcPr>
            <w:tcW w:w="851" w:type="dxa"/>
            <w:tcBorders>
              <w:top w:val="single" w:sz="4" w:space="0" w:color="auto"/>
              <w:bottom w:val="nil"/>
            </w:tcBorders>
            <w:shd w:val="clear" w:color="auto" w:fill="auto"/>
            <w:vAlign w:val="center"/>
          </w:tcPr>
          <w:p w14:paraId="23860AD0" w14:textId="56B35DA9" w:rsidR="00D74814" w:rsidRPr="00D74814" w:rsidRDefault="00D74814" w:rsidP="00D74814">
            <w:pPr>
              <w:pStyle w:val="TableBody"/>
              <w:jc w:val="left"/>
              <w:rPr>
                <w:rFonts w:cs="Arial"/>
              </w:rPr>
            </w:pPr>
            <w:r w:rsidRPr="00D74814">
              <w:rPr>
                <w:rFonts w:cs="Arial"/>
              </w:rPr>
              <w:t>0.9976</w:t>
            </w:r>
          </w:p>
        </w:tc>
        <w:tc>
          <w:tcPr>
            <w:tcW w:w="1189" w:type="dxa"/>
            <w:tcBorders>
              <w:top w:val="single" w:sz="4" w:space="0" w:color="auto"/>
              <w:bottom w:val="nil"/>
            </w:tcBorders>
            <w:vAlign w:val="center"/>
          </w:tcPr>
          <w:p w14:paraId="68598F33" w14:textId="3A1D1362" w:rsidR="00D74814" w:rsidRPr="00D74814" w:rsidRDefault="00D74814" w:rsidP="00D74814">
            <w:pPr>
              <w:pStyle w:val="TableBody"/>
              <w:jc w:val="left"/>
              <w:rPr>
                <w:rFonts w:cs="Arial"/>
              </w:rPr>
            </w:pPr>
            <w:r w:rsidRPr="00D74814">
              <w:rPr>
                <w:rFonts w:cs="Arial"/>
              </w:rPr>
              <w:t>297.0</w:t>
            </w:r>
          </w:p>
        </w:tc>
      </w:tr>
      <w:tr w:rsidR="00D74814" w:rsidRPr="00324724" w14:paraId="6A04EDF3" w14:textId="77777777" w:rsidTr="00392567">
        <w:tc>
          <w:tcPr>
            <w:tcW w:w="974" w:type="dxa"/>
            <w:vMerge/>
            <w:tcBorders>
              <w:top w:val="nil"/>
              <w:bottom w:val="nil"/>
            </w:tcBorders>
            <w:shd w:val="clear" w:color="auto" w:fill="auto"/>
            <w:vAlign w:val="center"/>
          </w:tcPr>
          <w:p w14:paraId="20CFA961" w14:textId="77777777" w:rsidR="00D74814" w:rsidRPr="00D74814" w:rsidRDefault="00D74814" w:rsidP="00D74814">
            <w:pPr>
              <w:pStyle w:val="TableBody"/>
              <w:rPr>
                <w:rFonts w:cs="Arial"/>
              </w:rPr>
            </w:pPr>
          </w:p>
        </w:tc>
        <w:tc>
          <w:tcPr>
            <w:tcW w:w="974" w:type="dxa"/>
            <w:tcBorders>
              <w:top w:val="nil"/>
              <w:bottom w:val="nil"/>
            </w:tcBorders>
            <w:shd w:val="clear" w:color="auto" w:fill="auto"/>
            <w:vAlign w:val="center"/>
          </w:tcPr>
          <w:p w14:paraId="59A19FD7" w14:textId="087D5B2A" w:rsidR="00D74814" w:rsidRPr="00D74814" w:rsidRDefault="00D74814" w:rsidP="00D74814">
            <w:pPr>
              <w:pStyle w:val="TableBody"/>
              <w:jc w:val="left"/>
              <w:rPr>
                <w:rFonts w:cs="Arial"/>
              </w:rPr>
            </w:pPr>
            <w:r w:rsidRPr="00D74814">
              <w:rPr>
                <w:rFonts w:cs="Arial"/>
              </w:rPr>
              <w:t>2</w:t>
            </w:r>
          </w:p>
        </w:tc>
        <w:tc>
          <w:tcPr>
            <w:tcW w:w="887" w:type="dxa"/>
            <w:tcBorders>
              <w:top w:val="nil"/>
              <w:bottom w:val="nil"/>
            </w:tcBorders>
            <w:shd w:val="clear" w:color="auto" w:fill="auto"/>
            <w:vAlign w:val="center"/>
          </w:tcPr>
          <w:p w14:paraId="287DDE63" w14:textId="4C1F1573" w:rsidR="00D74814" w:rsidRPr="00D74814" w:rsidRDefault="00D74814" w:rsidP="00D74814">
            <w:pPr>
              <w:pStyle w:val="TableBody"/>
              <w:jc w:val="left"/>
              <w:rPr>
                <w:rFonts w:cs="Arial"/>
              </w:rPr>
            </w:pPr>
            <w:r w:rsidRPr="00D74814">
              <w:rPr>
                <w:rFonts w:cs="Arial"/>
              </w:rPr>
              <w:t>11.8</w:t>
            </w:r>
          </w:p>
        </w:tc>
        <w:tc>
          <w:tcPr>
            <w:tcW w:w="851" w:type="dxa"/>
            <w:tcBorders>
              <w:top w:val="nil"/>
              <w:bottom w:val="nil"/>
            </w:tcBorders>
            <w:shd w:val="clear" w:color="auto" w:fill="auto"/>
            <w:vAlign w:val="center"/>
          </w:tcPr>
          <w:p w14:paraId="7FC9494A" w14:textId="5F86C9A6" w:rsidR="00D74814" w:rsidRPr="00D74814" w:rsidRDefault="00D74814" w:rsidP="00D74814">
            <w:pPr>
              <w:pStyle w:val="TableBody"/>
              <w:jc w:val="left"/>
              <w:rPr>
                <w:rFonts w:cs="Arial"/>
              </w:rPr>
            </w:pPr>
            <w:r w:rsidRPr="00D74814">
              <w:rPr>
                <w:rFonts w:cs="Arial"/>
              </w:rPr>
              <w:t>0.9944</w:t>
            </w:r>
          </w:p>
        </w:tc>
        <w:tc>
          <w:tcPr>
            <w:tcW w:w="1189" w:type="dxa"/>
            <w:tcBorders>
              <w:top w:val="nil"/>
              <w:bottom w:val="nil"/>
            </w:tcBorders>
            <w:vAlign w:val="center"/>
          </w:tcPr>
          <w:p w14:paraId="680D871A" w14:textId="50F2BC39" w:rsidR="00D74814" w:rsidRPr="00D74814" w:rsidRDefault="00D74814" w:rsidP="00D74814">
            <w:pPr>
              <w:pStyle w:val="TableBody"/>
              <w:jc w:val="left"/>
              <w:rPr>
                <w:rFonts w:cs="Arial"/>
              </w:rPr>
            </w:pPr>
            <w:r w:rsidRPr="00D74814">
              <w:rPr>
                <w:rFonts w:cs="Arial"/>
              </w:rPr>
              <w:t>2.6</w:t>
            </w:r>
          </w:p>
        </w:tc>
      </w:tr>
      <w:tr w:rsidR="00D74814" w:rsidRPr="00324724" w14:paraId="14D94B10" w14:textId="77777777" w:rsidTr="00392567">
        <w:tc>
          <w:tcPr>
            <w:tcW w:w="974" w:type="dxa"/>
            <w:vMerge/>
            <w:tcBorders>
              <w:top w:val="nil"/>
              <w:bottom w:val="single" w:sz="4" w:space="0" w:color="auto"/>
            </w:tcBorders>
            <w:shd w:val="clear" w:color="auto" w:fill="auto"/>
            <w:vAlign w:val="center"/>
          </w:tcPr>
          <w:p w14:paraId="169E8DD2" w14:textId="77777777" w:rsidR="00D74814" w:rsidRPr="00D74814" w:rsidRDefault="00D74814" w:rsidP="00D74814">
            <w:pPr>
              <w:pStyle w:val="TableBody"/>
              <w:rPr>
                <w:rFonts w:cs="Arial"/>
              </w:rPr>
            </w:pPr>
          </w:p>
        </w:tc>
        <w:tc>
          <w:tcPr>
            <w:tcW w:w="974" w:type="dxa"/>
            <w:tcBorders>
              <w:top w:val="nil"/>
              <w:bottom w:val="single" w:sz="4" w:space="0" w:color="auto"/>
            </w:tcBorders>
            <w:shd w:val="clear" w:color="auto" w:fill="auto"/>
            <w:vAlign w:val="center"/>
          </w:tcPr>
          <w:p w14:paraId="5BB3764C" w14:textId="018C8A76" w:rsidR="00D74814" w:rsidRPr="00D74814" w:rsidRDefault="00D74814" w:rsidP="00D74814">
            <w:pPr>
              <w:pStyle w:val="TableBody"/>
              <w:jc w:val="left"/>
              <w:rPr>
                <w:rFonts w:cs="Arial"/>
              </w:rPr>
            </w:pPr>
            <w:r w:rsidRPr="00D74814">
              <w:rPr>
                <w:rFonts w:cs="Arial"/>
              </w:rPr>
              <w:t>2</w:t>
            </w:r>
            <w:r w:rsidRPr="00D74814">
              <w:rPr>
                <w:rFonts w:cs="Arial"/>
                <w:vertAlign w:val="superscript"/>
              </w:rPr>
              <w:t>[b</w:t>
            </w:r>
            <w:r>
              <w:rPr>
                <w:rFonts w:cs="Arial"/>
                <w:vertAlign w:val="superscript"/>
              </w:rPr>
              <w:t>]</w:t>
            </w:r>
          </w:p>
        </w:tc>
        <w:tc>
          <w:tcPr>
            <w:tcW w:w="887" w:type="dxa"/>
            <w:tcBorders>
              <w:top w:val="nil"/>
              <w:bottom w:val="single" w:sz="4" w:space="0" w:color="auto"/>
            </w:tcBorders>
            <w:shd w:val="clear" w:color="auto" w:fill="auto"/>
            <w:vAlign w:val="center"/>
          </w:tcPr>
          <w:p w14:paraId="0ECE269E" w14:textId="246BD031" w:rsidR="00D74814" w:rsidRPr="00D74814" w:rsidRDefault="00D74814" w:rsidP="00D74814">
            <w:pPr>
              <w:pStyle w:val="TableBody"/>
              <w:jc w:val="left"/>
              <w:rPr>
                <w:rFonts w:cs="Arial"/>
              </w:rPr>
            </w:pPr>
            <w:r w:rsidRPr="00D74814">
              <w:rPr>
                <w:rFonts w:cs="Arial"/>
              </w:rPr>
              <w:t>7.4</w:t>
            </w:r>
          </w:p>
        </w:tc>
        <w:tc>
          <w:tcPr>
            <w:tcW w:w="851" w:type="dxa"/>
            <w:tcBorders>
              <w:top w:val="nil"/>
              <w:bottom w:val="single" w:sz="4" w:space="0" w:color="auto"/>
            </w:tcBorders>
            <w:shd w:val="clear" w:color="auto" w:fill="auto"/>
            <w:vAlign w:val="center"/>
          </w:tcPr>
          <w:p w14:paraId="15AC292F" w14:textId="571EA76A" w:rsidR="00D74814" w:rsidRPr="00D74814" w:rsidRDefault="00D74814" w:rsidP="00D74814">
            <w:pPr>
              <w:pStyle w:val="TableBody"/>
              <w:jc w:val="left"/>
              <w:rPr>
                <w:rFonts w:cs="Arial"/>
              </w:rPr>
            </w:pPr>
            <w:r w:rsidRPr="00D74814">
              <w:rPr>
                <w:rFonts w:cs="Arial"/>
              </w:rPr>
              <w:t>0.9938</w:t>
            </w:r>
          </w:p>
        </w:tc>
        <w:tc>
          <w:tcPr>
            <w:tcW w:w="1189" w:type="dxa"/>
            <w:tcBorders>
              <w:top w:val="nil"/>
              <w:bottom w:val="single" w:sz="4" w:space="0" w:color="auto"/>
            </w:tcBorders>
            <w:vAlign w:val="center"/>
          </w:tcPr>
          <w:p w14:paraId="08B4A2E1" w14:textId="4E096F83" w:rsidR="00D74814" w:rsidRPr="00D74814" w:rsidRDefault="00D74814" w:rsidP="00D74814">
            <w:pPr>
              <w:pStyle w:val="TableBody"/>
              <w:jc w:val="left"/>
              <w:rPr>
                <w:rFonts w:cs="Arial"/>
              </w:rPr>
            </w:pPr>
            <w:r w:rsidRPr="00D74814">
              <w:rPr>
                <w:rFonts w:cs="Arial"/>
              </w:rPr>
              <w:t>8.7</w:t>
            </w:r>
          </w:p>
        </w:tc>
      </w:tr>
      <w:tr w:rsidR="00D74814" w:rsidRPr="00324724" w14:paraId="7F1C7DF8" w14:textId="77777777" w:rsidTr="00392567">
        <w:tc>
          <w:tcPr>
            <w:tcW w:w="974" w:type="dxa"/>
            <w:vMerge w:val="restart"/>
            <w:tcBorders>
              <w:top w:val="single" w:sz="4" w:space="0" w:color="auto"/>
              <w:bottom w:val="single" w:sz="4" w:space="0" w:color="auto"/>
            </w:tcBorders>
            <w:shd w:val="clear" w:color="auto" w:fill="auto"/>
            <w:vAlign w:val="center"/>
          </w:tcPr>
          <w:p w14:paraId="467D459F" w14:textId="58E57CD5" w:rsidR="00D74814" w:rsidRPr="00D74814" w:rsidRDefault="00D74814" w:rsidP="00D74814">
            <w:pPr>
              <w:pStyle w:val="TableBody"/>
              <w:jc w:val="center"/>
              <w:rPr>
                <w:rFonts w:cs="Arial"/>
              </w:rPr>
            </w:pPr>
            <w:r w:rsidRPr="00D74814">
              <w:rPr>
                <w:rFonts w:cs="Arial"/>
              </w:rPr>
              <w:t>8:1</w:t>
            </w:r>
          </w:p>
        </w:tc>
        <w:tc>
          <w:tcPr>
            <w:tcW w:w="974" w:type="dxa"/>
            <w:tcBorders>
              <w:top w:val="single" w:sz="4" w:space="0" w:color="auto"/>
            </w:tcBorders>
            <w:shd w:val="clear" w:color="auto" w:fill="auto"/>
            <w:vAlign w:val="center"/>
          </w:tcPr>
          <w:p w14:paraId="4EE4ACD8" w14:textId="60B23094" w:rsidR="00D74814" w:rsidRPr="00D74814" w:rsidRDefault="00D74814" w:rsidP="00D74814">
            <w:pPr>
              <w:pStyle w:val="TableBody"/>
              <w:jc w:val="left"/>
              <w:rPr>
                <w:rFonts w:cs="Arial"/>
              </w:rPr>
            </w:pPr>
            <w:r w:rsidRPr="00D74814">
              <w:rPr>
                <w:rFonts w:cs="Arial"/>
              </w:rPr>
              <w:t>1</w:t>
            </w:r>
          </w:p>
        </w:tc>
        <w:tc>
          <w:tcPr>
            <w:tcW w:w="887" w:type="dxa"/>
            <w:tcBorders>
              <w:top w:val="single" w:sz="4" w:space="0" w:color="auto"/>
            </w:tcBorders>
            <w:shd w:val="clear" w:color="auto" w:fill="auto"/>
            <w:vAlign w:val="center"/>
          </w:tcPr>
          <w:p w14:paraId="35C7AA45" w14:textId="73C940C5" w:rsidR="00D74814" w:rsidRPr="00D74814" w:rsidRDefault="00D74814" w:rsidP="00D74814">
            <w:pPr>
              <w:pStyle w:val="TableBody"/>
              <w:jc w:val="left"/>
              <w:rPr>
                <w:rFonts w:cs="Arial"/>
              </w:rPr>
            </w:pPr>
            <w:r w:rsidRPr="00D74814">
              <w:rPr>
                <w:rFonts w:cs="Arial"/>
              </w:rPr>
              <w:t>151.9</w:t>
            </w:r>
          </w:p>
        </w:tc>
        <w:tc>
          <w:tcPr>
            <w:tcW w:w="851" w:type="dxa"/>
            <w:tcBorders>
              <w:top w:val="single" w:sz="4" w:space="0" w:color="auto"/>
            </w:tcBorders>
            <w:shd w:val="clear" w:color="auto" w:fill="auto"/>
            <w:vAlign w:val="center"/>
          </w:tcPr>
          <w:p w14:paraId="47DBDDB3" w14:textId="05A6B370" w:rsidR="00D74814" w:rsidRPr="00D74814" w:rsidRDefault="00D74814" w:rsidP="00D74814">
            <w:pPr>
              <w:pStyle w:val="TableBody"/>
              <w:jc w:val="left"/>
              <w:rPr>
                <w:rFonts w:cs="Arial"/>
              </w:rPr>
            </w:pPr>
            <w:r w:rsidRPr="00D74814">
              <w:rPr>
                <w:rFonts w:cs="Arial"/>
              </w:rPr>
              <w:t>0.9958</w:t>
            </w:r>
          </w:p>
        </w:tc>
        <w:tc>
          <w:tcPr>
            <w:tcW w:w="1189" w:type="dxa"/>
            <w:tcBorders>
              <w:top w:val="single" w:sz="4" w:space="0" w:color="auto"/>
            </w:tcBorders>
            <w:vAlign w:val="center"/>
          </w:tcPr>
          <w:p w14:paraId="58D5048D" w14:textId="669378E6" w:rsidR="00D74814" w:rsidRPr="00D74814" w:rsidRDefault="00D74814" w:rsidP="00D74814">
            <w:pPr>
              <w:pStyle w:val="TableBody"/>
              <w:jc w:val="left"/>
              <w:rPr>
                <w:rFonts w:cs="Arial"/>
              </w:rPr>
            </w:pPr>
            <w:r w:rsidRPr="00D74814">
              <w:rPr>
                <w:rFonts w:cs="Arial"/>
              </w:rPr>
              <w:t>316.1</w:t>
            </w:r>
          </w:p>
        </w:tc>
      </w:tr>
      <w:tr w:rsidR="00D74814" w:rsidRPr="00324724" w14:paraId="4D89E2E0" w14:textId="77777777" w:rsidTr="00392567">
        <w:tc>
          <w:tcPr>
            <w:tcW w:w="974" w:type="dxa"/>
            <w:vMerge/>
            <w:tcBorders>
              <w:top w:val="nil"/>
              <w:bottom w:val="single" w:sz="4" w:space="0" w:color="auto"/>
            </w:tcBorders>
            <w:shd w:val="clear" w:color="auto" w:fill="auto"/>
            <w:vAlign w:val="center"/>
          </w:tcPr>
          <w:p w14:paraId="78BFC0E8" w14:textId="77777777" w:rsidR="00D74814" w:rsidRPr="00D74814" w:rsidRDefault="00D74814" w:rsidP="00D74814">
            <w:pPr>
              <w:pStyle w:val="TableBody"/>
              <w:rPr>
                <w:rFonts w:cs="Arial"/>
              </w:rPr>
            </w:pPr>
          </w:p>
        </w:tc>
        <w:tc>
          <w:tcPr>
            <w:tcW w:w="974" w:type="dxa"/>
            <w:tcBorders>
              <w:bottom w:val="nil"/>
            </w:tcBorders>
            <w:shd w:val="clear" w:color="auto" w:fill="auto"/>
            <w:vAlign w:val="center"/>
          </w:tcPr>
          <w:p w14:paraId="6F586B3B" w14:textId="4291FE00" w:rsidR="00D74814" w:rsidRPr="00D74814" w:rsidRDefault="00D74814" w:rsidP="00D74814">
            <w:pPr>
              <w:pStyle w:val="TableBody"/>
              <w:jc w:val="left"/>
              <w:rPr>
                <w:rFonts w:cs="Arial"/>
              </w:rPr>
            </w:pPr>
            <w:r w:rsidRPr="00D74814">
              <w:rPr>
                <w:rFonts w:cs="Arial"/>
              </w:rPr>
              <w:t>2</w:t>
            </w:r>
          </w:p>
        </w:tc>
        <w:tc>
          <w:tcPr>
            <w:tcW w:w="887" w:type="dxa"/>
            <w:tcBorders>
              <w:bottom w:val="nil"/>
            </w:tcBorders>
            <w:shd w:val="clear" w:color="auto" w:fill="auto"/>
            <w:vAlign w:val="center"/>
          </w:tcPr>
          <w:p w14:paraId="2E16A674" w14:textId="75CA15CC" w:rsidR="00D74814" w:rsidRPr="00D74814" w:rsidRDefault="00D74814" w:rsidP="00D74814">
            <w:pPr>
              <w:pStyle w:val="TableBody"/>
              <w:jc w:val="left"/>
              <w:rPr>
                <w:rFonts w:cs="Arial"/>
              </w:rPr>
            </w:pPr>
            <w:r w:rsidRPr="00D74814">
              <w:rPr>
                <w:rFonts w:cs="Arial"/>
              </w:rPr>
              <w:t>13.6</w:t>
            </w:r>
          </w:p>
        </w:tc>
        <w:tc>
          <w:tcPr>
            <w:tcW w:w="851" w:type="dxa"/>
            <w:tcBorders>
              <w:bottom w:val="nil"/>
            </w:tcBorders>
            <w:shd w:val="clear" w:color="auto" w:fill="auto"/>
            <w:vAlign w:val="center"/>
          </w:tcPr>
          <w:p w14:paraId="35FC78E6" w14:textId="64B31E1B" w:rsidR="00D74814" w:rsidRPr="00D74814" w:rsidRDefault="00D74814" w:rsidP="00D74814">
            <w:pPr>
              <w:pStyle w:val="TableBody"/>
              <w:jc w:val="left"/>
              <w:rPr>
                <w:rFonts w:cs="Arial"/>
              </w:rPr>
            </w:pPr>
            <w:r w:rsidRPr="00D74814">
              <w:rPr>
                <w:rFonts w:cs="Arial"/>
              </w:rPr>
              <w:t>0.9915</w:t>
            </w:r>
          </w:p>
        </w:tc>
        <w:tc>
          <w:tcPr>
            <w:tcW w:w="1189" w:type="dxa"/>
            <w:tcBorders>
              <w:bottom w:val="nil"/>
            </w:tcBorders>
            <w:vAlign w:val="center"/>
          </w:tcPr>
          <w:p w14:paraId="31B6D158" w14:textId="4696DA55" w:rsidR="00D74814" w:rsidRPr="00D74814" w:rsidRDefault="00D74814" w:rsidP="00D74814">
            <w:pPr>
              <w:pStyle w:val="TableBody"/>
              <w:jc w:val="left"/>
              <w:rPr>
                <w:rFonts w:cs="Arial"/>
              </w:rPr>
            </w:pPr>
            <w:r w:rsidRPr="00D74814">
              <w:rPr>
                <w:rFonts w:cs="Arial"/>
              </w:rPr>
              <w:t>2.7</w:t>
            </w:r>
          </w:p>
        </w:tc>
      </w:tr>
      <w:tr w:rsidR="00D74814" w:rsidRPr="00324724" w14:paraId="08DC146B" w14:textId="77777777" w:rsidTr="00392567">
        <w:tc>
          <w:tcPr>
            <w:tcW w:w="974" w:type="dxa"/>
            <w:vMerge/>
            <w:tcBorders>
              <w:top w:val="nil"/>
              <w:bottom w:val="single" w:sz="4" w:space="0" w:color="auto"/>
            </w:tcBorders>
            <w:shd w:val="clear" w:color="auto" w:fill="auto"/>
            <w:vAlign w:val="center"/>
          </w:tcPr>
          <w:p w14:paraId="615C91CF" w14:textId="77777777" w:rsidR="00D74814" w:rsidRPr="00D74814" w:rsidRDefault="00D74814" w:rsidP="00D74814">
            <w:pPr>
              <w:pStyle w:val="TableBody"/>
              <w:rPr>
                <w:rFonts w:cs="Arial"/>
              </w:rPr>
            </w:pPr>
          </w:p>
        </w:tc>
        <w:tc>
          <w:tcPr>
            <w:tcW w:w="974" w:type="dxa"/>
            <w:tcBorders>
              <w:top w:val="nil"/>
              <w:bottom w:val="single" w:sz="4" w:space="0" w:color="auto"/>
            </w:tcBorders>
            <w:shd w:val="clear" w:color="auto" w:fill="auto"/>
            <w:vAlign w:val="center"/>
          </w:tcPr>
          <w:p w14:paraId="3752A07F" w14:textId="79D9370B" w:rsidR="00D74814" w:rsidRPr="00D74814" w:rsidRDefault="00D74814" w:rsidP="00D74814">
            <w:pPr>
              <w:pStyle w:val="TableBody"/>
              <w:jc w:val="left"/>
              <w:rPr>
                <w:rFonts w:cs="Arial"/>
              </w:rPr>
            </w:pPr>
            <w:r w:rsidRPr="00D74814">
              <w:rPr>
                <w:rFonts w:cs="Arial"/>
              </w:rPr>
              <w:t>2</w:t>
            </w:r>
            <w:r w:rsidRPr="00D74814">
              <w:rPr>
                <w:rFonts w:cs="Arial"/>
                <w:vertAlign w:val="superscript"/>
              </w:rPr>
              <w:t>[b</w:t>
            </w:r>
            <w:r>
              <w:rPr>
                <w:rFonts w:cs="Arial"/>
                <w:vertAlign w:val="superscript"/>
              </w:rPr>
              <w:t>]</w:t>
            </w:r>
          </w:p>
        </w:tc>
        <w:tc>
          <w:tcPr>
            <w:tcW w:w="887" w:type="dxa"/>
            <w:tcBorders>
              <w:top w:val="nil"/>
              <w:bottom w:val="single" w:sz="4" w:space="0" w:color="auto"/>
            </w:tcBorders>
            <w:shd w:val="clear" w:color="auto" w:fill="auto"/>
            <w:vAlign w:val="center"/>
          </w:tcPr>
          <w:p w14:paraId="77E3E9FF" w14:textId="335712C8" w:rsidR="00D74814" w:rsidRPr="00D74814" w:rsidRDefault="00D74814" w:rsidP="00D74814">
            <w:pPr>
              <w:pStyle w:val="TableBody"/>
              <w:jc w:val="left"/>
              <w:rPr>
                <w:rFonts w:cs="Arial"/>
              </w:rPr>
            </w:pPr>
            <w:r w:rsidRPr="00D74814">
              <w:rPr>
                <w:rFonts w:cs="Arial"/>
              </w:rPr>
              <w:t>8.0</w:t>
            </w:r>
          </w:p>
        </w:tc>
        <w:tc>
          <w:tcPr>
            <w:tcW w:w="851" w:type="dxa"/>
            <w:tcBorders>
              <w:top w:val="nil"/>
              <w:bottom w:val="single" w:sz="4" w:space="0" w:color="auto"/>
            </w:tcBorders>
            <w:shd w:val="clear" w:color="auto" w:fill="auto"/>
            <w:vAlign w:val="center"/>
          </w:tcPr>
          <w:p w14:paraId="7D94CEDF" w14:textId="2E784D96" w:rsidR="00D74814" w:rsidRPr="00D74814" w:rsidRDefault="00D74814" w:rsidP="00D74814">
            <w:pPr>
              <w:pStyle w:val="TableBody"/>
              <w:jc w:val="left"/>
              <w:rPr>
                <w:rFonts w:cs="Arial"/>
              </w:rPr>
            </w:pPr>
            <w:r w:rsidRPr="00D74814">
              <w:rPr>
                <w:rFonts w:cs="Arial"/>
              </w:rPr>
              <w:t>0.9921</w:t>
            </w:r>
          </w:p>
        </w:tc>
        <w:tc>
          <w:tcPr>
            <w:tcW w:w="1189" w:type="dxa"/>
            <w:tcBorders>
              <w:top w:val="nil"/>
              <w:bottom w:val="single" w:sz="4" w:space="0" w:color="auto"/>
            </w:tcBorders>
            <w:vAlign w:val="center"/>
          </w:tcPr>
          <w:p w14:paraId="50D14F4D" w14:textId="58453F8B" w:rsidR="00D74814" w:rsidRPr="00D74814" w:rsidRDefault="00D74814" w:rsidP="00D74814">
            <w:pPr>
              <w:pStyle w:val="TableBody"/>
              <w:jc w:val="left"/>
              <w:rPr>
                <w:rFonts w:cs="Arial"/>
              </w:rPr>
            </w:pPr>
            <w:r w:rsidRPr="00D74814">
              <w:rPr>
                <w:rFonts w:cs="Arial"/>
              </w:rPr>
              <w:t>8.3</w:t>
            </w:r>
          </w:p>
        </w:tc>
      </w:tr>
      <w:tr w:rsidR="00D74814" w:rsidRPr="00324724" w14:paraId="06D2E0C2" w14:textId="77777777" w:rsidTr="00D74814">
        <w:tc>
          <w:tcPr>
            <w:tcW w:w="4875" w:type="dxa"/>
            <w:gridSpan w:val="5"/>
            <w:tcBorders>
              <w:top w:val="single" w:sz="8" w:space="0" w:color="auto"/>
            </w:tcBorders>
          </w:tcPr>
          <w:p w14:paraId="031990C1" w14:textId="0B55ABE9" w:rsidR="00A144D7" w:rsidRPr="00A144D7" w:rsidRDefault="00E84F46" w:rsidP="00392567">
            <w:pPr>
              <w:pStyle w:val="TableFoot"/>
              <w:rPr>
                <w:lang w:val="de-DE"/>
              </w:rPr>
            </w:pPr>
            <w:r w:rsidRPr="00E84F46">
              <w:rPr>
                <w:lang w:val="de-DE"/>
              </w:rPr>
              <w:t>2.5 mmol D</w:t>
            </w:r>
            <w:r w:rsidR="00392567">
              <w:rPr>
                <w:lang w:val="de-DE"/>
              </w:rPr>
              <w:t xml:space="preserve">MI, varying amount of DEA, </w:t>
            </w:r>
            <w:r w:rsidRPr="00E84F46">
              <w:rPr>
                <w:lang w:val="de-DE"/>
              </w:rPr>
              <w:t>no catalyst, no solvent, 21 °C. [a] Rate = -d[DMI]/d</w:t>
            </w:r>
            <w:r w:rsidRPr="00E84F46">
              <w:rPr>
                <w:vertAlign w:val="subscript"/>
                <w:lang w:val="de-DE"/>
              </w:rPr>
              <w:t>t</w:t>
            </w:r>
            <w:r w:rsidRPr="00E84F46">
              <w:rPr>
                <w:lang w:val="de-DE"/>
              </w:rPr>
              <w:t xml:space="preserve"> = k</w:t>
            </w:r>
            <w:r w:rsidRPr="00E84F46">
              <w:rPr>
                <w:vertAlign w:val="subscript"/>
                <w:lang w:val="de-DE"/>
              </w:rPr>
              <w:t>obs</w:t>
            </w:r>
            <w:r w:rsidRPr="00E84F46">
              <w:rPr>
                <w:lang w:val="de-DE"/>
              </w:rPr>
              <w:t>[DMI]t</w:t>
            </w:r>
            <w:r w:rsidRPr="00E84F46">
              <w:rPr>
                <w:vertAlign w:val="subscript"/>
                <w:lang w:val="de-DE"/>
              </w:rPr>
              <w:t>0</w:t>
            </w:r>
            <w:r w:rsidRPr="00E84F46">
              <w:rPr>
                <w:lang w:val="de-DE"/>
              </w:rPr>
              <w:t xml:space="preserve"> for when 1st order w.r.t. [DMI]; rate = -d[</w:t>
            </w:r>
            <w:r w:rsidRPr="00E84F46">
              <w:rPr>
                <w:b/>
                <w:lang w:val="de-DE"/>
              </w:rPr>
              <w:t>4</w:t>
            </w:r>
            <w:r w:rsidRPr="00E84F46">
              <w:rPr>
                <w:lang w:val="de-DE"/>
              </w:rPr>
              <w:t>]/dt = k</w:t>
            </w:r>
            <w:r w:rsidRPr="00E84F46">
              <w:rPr>
                <w:vertAlign w:val="subscript"/>
                <w:lang w:val="de-DE"/>
              </w:rPr>
              <w:t>obs</w:t>
            </w:r>
            <w:r w:rsidRPr="00E84F46">
              <w:rPr>
                <w:lang w:val="de-DE"/>
              </w:rPr>
              <w:t>[</w:t>
            </w:r>
            <w:r w:rsidRPr="00E84F46">
              <w:rPr>
                <w:b/>
                <w:lang w:val="de-DE"/>
              </w:rPr>
              <w:t>4</w:t>
            </w:r>
            <w:r w:rsidRPr="00E84F46">
              <w:rPr>
                <w:lang w:val="de-DE"/>
              </w:rPr>
              <w:t>]t</w:t>
            </w:r>
            <w:r w:rsidRPr="00E84F46">
              <w:rPr>
                <w:vertAlign w:val="subscript"/>
                <w:lang w:val="de-DE"/>
              </w:rPr>
              <w:t>0</w:t>
            </w:r>
            <w:r w:rsidRPr="00E84F46">
              <w:rPr>
                <w:lang w:val="de-DE"/>
              </w:rPr>
              <w:t xml:space="preserve"> for when 1st order w.r.t. [</w:t>
            </w:r>
            <w:r w:rsidRPr="00E84F46">
              <w:rPr>
                <w:b/>
                <w:lang w:val="de-DE"/>
              </w:rPr>
              <w:t>4</w:t>
            </w:r>
            <w:r w:rsidRPr="00E84F46">
              <w:rPr>
                <w:lang w:val="de-DE"/>
              </w:rPr>
              <w:t>]. [b] 1</w:t>
            </w:r>
            <w:r w:rsidRPr="00E84F46">
              <w:rPr>
                <w:vertAlign w:val="superscript"/>
                <w:lang w:val="de-DE"/>
              </w:rPr>
              <w:t>st</w:t>
            </w:r>
            <w:r w:rsidRPr="00E84F46">
              <w:rPr>
                <w:lang w:val="de-DE"/>
              </w:rPr>
              <w:t xml:space="preserve"> order kinetics w.r.t. [</w:t>
            </w:r>
            <w:r w:rsidRPr="00E84F46">
              <w:rPr>
                <w:b/>
                <w:lang w:val="de-DE"/>
              </w:rPr>
              <w:t>4</w:t>
            </w:r>
            <w:r w:rsidRPr="00E84F46">
              <w:rPr>
                <w:lang w:val="de-DE"/>
              </w:rPr>
              <w:t>] instead of [DMI]. The data point at 4 h was omitted from the calcul</w:t>
            </w:r>
            <w:r w:rsidR="00A144D7">
              <w:rPr>
                <w:lang w:val="de-DE"/>
              </w:rPr>
              <w:t xml:space="preserve">ations as a transitional period </w:t>
            </w:r>
            <w:r w:rsidRPr="00E84F46">
              <w:rPr>
                <w:lang w:val="de-DE"/>
              </w:rPr>
              <w:t>between the two stages of the reaction.</w:t>
            </w:r>
          </w:p>
        </w:tc>
      </w:tr>
    </w:tbl>
    <w:p w14:paraId="25E366EB" w14:textId="0E74DA31" w:rsidR="00A144D7" w:rsidRDefault="00212FD6" w:rsidP="00A144D7">
      <w:pPr>
        <w:pStyle w:val="P1"/>
      </w:pPr>
      <w:bookmarkStart w:id="1" w:name="_Ref214528198"/>
      <w:r>
        <w:rPr>
          <w:b/>
          <w:noProof/>
          <w:sz w:val="14"/>
          <w:lang w:val="en-GB" w:eastAsia="en-GB"/>
        </w:rPr>
        <w:drawing>
          <wp:anchor distT="0" distB="0" distL="114300" distR="114300" simplePos="0" relativeHeight="251689472" behindDoc="0" locked="0" layoutInCell="1" allowOverlap="1" wp14:anchorId="57FFA005" wp14:editId="4FFCF7FC">
            <wp:simplePos x="0" y="0"/>
            <wp:positionH relativeFrom="margin">
              <wp:align>right</wp:align>
            </wp:positionH>
            <wp:positionV relativeFrom="margin">
              <wp:posOffset>571500</wp:posOffset>
            </wp:positionV>
            <wp:extent cx="3091180" cy="43345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1180" cy="4334510"/>
                    </a:xfrm>
                    <a:prstGeom prst="rect">
                      <a:avLst/>
                    </a:prstGeom>
                    <a:noFill/>
                  </pic:spPr>
                </pic:pic>
              </a:graphicData>
            </a:graphic>
          </wp:anchor>
        </w:drawing>
      </w:r>
      <w:r w:rsidR="00A144D7" w:rsidRPr="00A144D7">
        <w:t>The rate of reaction for stage 1 was up to nearly one order of magnitude faster than for stage 2 for each ratio DEA</w:t>
      </w:r>
      <w:proofErr w:type="gramStart"/>
      <w:r w:rsidR="00A144D7" w:rsidRPr="00A144D7">
        <w:t>:DMI</w:t>
      </w:r>
      <w:proofErr w:type="gramEnd"/>
      <w:r w:rsidR="00A144D7" w:rsidRPr="00A144D7">
        <w:t>, thus further supporting our hypothesis of stage 2 being slower and controlled by [</w:t>
      </w:r>
      <w:r w:rsidR="00A144D7" w:rsidRPr="00A144D7">
        <w:rPr>
          <w:b/>
        </w:rPr>
        <w:t>4</w:t>
      </w:r>
      <w:r w:rsidR="00A144D7" w:rsidRPr="00A144D7">
        <w:t xml:space="preserve">]. This demonstrates the significance that </w:t>
      </w:r>
      <w:proofErr w:type="spellStart"/>
      <w:r w:rsidR="00A144D7" w:rsidRPr="00A144D7">
        <w:t>isomerisation</w:t>
      </w:r>
      <w:proofErr w:type="spellEnd"/>
      <w:r w:rsidR="00A144D7" w:rsidRPr="00A144D7">
        <w:t xml:space="preserve"> of DMI to </w:t>
      </w:r>
      <w:r w:rsidR="00A144D7" w:rsidRPr="00A144D7">
        <w:rPr>
          <w:b/>
        </w:rPr>
        <w:t>4</w:t>
      </w:r>
      <w:r w:rsidR="00A144D7" w:rsidRPr="00A144D7">
        <w:t xml:space="preserve"> as a competing reaction when attempting the </w:t>
      </w:r>
      <w:proofErr w:type="spellStart"/>
      <w:r w:rsidR="00A144D7" w:rsidRPr="00A144D7">
        <w:t>aza</w:t>
      </w:r>
      <w:proofErr w:type="spellEnd"/>
      <w:r w:rsidR="00A144D7" w:rsidRPr="00A144D7">
        <w:t xml:space="preserve">-Michael addition onto </w:t>
      </w:r>
      <w:proofErr w:type="spellStart"/>
      <w:r w:rsidR="000A3E51">
        <w:t>itaconates</w:t>
      </w:r>
      <w:proofErr w:type="spellEnd"/>
      <w:r w:rsidR="00A144D7" w:rsidRPr="00A144D7">
        <w:t xml:space="preserve">, and also the negative implication this </w:t>
      </w:r>
      <w:proofErr w:type="spellStart"/>
      <w:r w:rsidR="00A144D7" w:rsidRPr="00A144D7">
        <w:t>isomerisation</w:t>
      </w:r>
      <w:proofErr w:type="spellEnd"/>
      <w:r w:rsidR="00A144D7" w:rsidRPr="00A144D7">
        <w:t xml:space="preserve"> can h</w:t>
      </w:r>
      <w:r w:rsidR="000A3E51">
        <w:t>ave on yields of the addition for</w:t>
      </w:r>
      <w:r w:rsidR="00A144D7" w:rsidRPr="00A144D7">
        <w:t xml:space="preserve"> short reaction times. An important consideration is that DMI itself remains stable to </w:t>
      </w:r>
      <w:proofErr w:type="spellStart"/>
      <w:r w:rsidR="00A144D7" w:rsidRPr="00A144D7">
        <w:t>isomerisation</w:t>
      </w:r>
      <w:proofErr w:type="spellEnd"/>
      <w:r w:rsidR="00A144D7" w:rsidRPr="00A144D7">
        <w:t xml:space="preserve"> over long periods of storage in its liquid state, and that therefore formation of isomer </w:t>
      </w:r>
      <w:r w:rsidR="00A144D7" w:rsidRPr="00A144D7">
        <w:rPr>
          <w:b/>
        </w:rPr>
        <w:t>4</w:t>
      </w:r>
      <w:r w:rsidR="00A144D7" w:rsidRPr="00A144D7">
        <w:t xml:space="preserve"> must require the presence of a catalyst. We therefore assumed that DEA additionally acts as a catalyst for this </w:t>
      </w:r>
      <w:proofErr w:type="spellStart"/>
      <w:r w:rsidR="00A144D7" w:rsidRPr="00A144D7">
        <w:t>isomerisation</w:t>
      </w:r>
      <w:proofErr w:type="spellEnd"/>
      <w:r w:rsidR="00A144D7" w:rsidRPr="00A144D7">
        <w:t xml:space="preserve">. As such we investigated if basic but non-nucleophilic amines could bring about the </w:t>
      </w:r>
      <w:proofErr w:type="spellStart"/>
      <w:r w:rsidR="00A144D7" w:rsidRPr="00A144D7">
        <w:t>isomerisation</w:t>
      </w:r>
      <w:proofErr w:type="spellEnd"/>
      <w:r w:rsidR="00A144D7" w:rsidRPr="00A144D7">
        <w:t xml:space="preserve">. Indeed, we found that refluxing DMI in triethylamine for 24 hours readily promoted the </w:t>
      </w:r>
      <w:proofErr w:type="spellStart"/>
      <w:r w:rsidR="00A144D7" w:rsidRPr="00A144D7">
        <w:t>isomerisation</w:t>
      </w:r>
      <w:proofErr w:type="spellEnd"/>
      <w:r w:rsidR="00A144D7" w:rsidRPr="00A144D7">
        <w:t xml:space="preserve"> to </w:t>
      </w:r>
      <w:r w:rsidR="00A144D7" w:rsidRPr="00A144D7">
        <w:rPr>
          <w:b/>
        </w:rPr>
        <w:t>4</w:t>
      </w:r>
      <w:r w:rsidR="00A144D7" w:rsidRPr="00A144D7">
        <w:t xml:space="preserve">, thus supporting the case that an amine base can indeed </w:t>
      </w:r>
      <w:proofErr w:type="spellStart"/>
      <w:r w:rsidR="00A144D7" w:rsidRPr="00A144D7">
        <w:t>catalyse</w:t>
      </w:r>
      <w:proofErr w:type="spellEnd"/>
      <w:r w:rsidR="00A144D7" w:rsidRPr="00A144D7">
        <w:t xml:space="preserve"> the </w:t>
      </w:r>
      <w:proofErr w:type="spellStart"/>
      <w:r w:rsidR="00A144D7" w:rsidRPr="00A144D7">
        <w:t>regioisomerisation</w:t>
      </w:r>
      <w:proofErr w:type="spellEnd"/>
      <w:r w:rsidR="00A144D7" w:rsidRPr="00A144D7">
        <w:t>.</w:t>
      </w:r>
      <w:bookmarkEnd w:id="1"/>
    </w:p>
    <w:p w14:paraId="341761D5" w14:textId="77777777" w:rsidR="00A144D7" w:rsidRPr="00A144D7" w:rsidRDefault="00A144D7" w:rsidP="00A144D7">
      <w:pPr>
        <w:pStyle w:val="P1"/>
      </w:pPr>
    </w:p>
    <w:p w14:paraId="1FF01C97" w14:textId="7CD799C6" w:rsidR="00A144D7" w:rsidRPr="00A144D7" w:rsidRDefault="00A144D7" w:rsidP="00A144D7">
      <w:pPr>
        <w:pStyle w:val="P1"/>
        <w:rPr>
          <w:b/>
          <w:bCs/>
          <w:iCs/>
        </w:rPr>
      </w:pPr>
      <w:bookmarkStart w:id="2" w:name="_Ref216276897"/>
      <w:proofErr w:type="spellStart"/>
      <w:r>
        <w:rPr>
          <w:b/>
          <w:bCs/>
          <w:iCs/>
        </w:rPr>
        <w:t>M</w:t>
      </w:r>
      <w:r w:rsidRPr="00A144D7">
        <w:rPr>
          <w:b/>
          <w:bCs/>
          <w:iCs/>
        </w:rPr>
        <w:t>esaconate</w:t>
      </w:r>
      <w:proofErr w:type="gramStart"/>
      <w:r w:rsidRPr="00A144D7">
        <w:rPr>
          <w:b/>
          <w:bCs/>
          <w:iCs/>
        </w:rPr>
        <w:t>:itaconate</w:t>
      </w:r>
      <w:proofErr w:type="spellEnd"/>
      <w:proofErr w:type="gramEnd"/>
      <w:r>
        <w:rPr>
          <w:b/>
          <w:bCs/>
          <w:iCs/>
        </w:rPr>
        <w:t xml:space="preserve"> 3:1</w:t>
      </w:r>
      <w:r w:rsidRPr="00A144D7">
        <w:rPr>
          <w:b/>
          <w:bCs/>
          <w:iCs/>
        </w:rPr>
        <w:t xml:space="preserve"> Starting Material</w:t>
      </w:r>
      <w:bookmarkEnd w:id="2"/>
    </w:p>
    <w:p w14:paraId="553EA2E5" w14:textId="34ED3B92" w:rsidR="00212FD6" w:rsidRPr="00F96419" w:rsidRDefault="00A144D7" w:rsidP="00A144D7">
      <w:pPr>
        <w:pStyle w:val="P1"/>
      </w:pPr>
      <w:r w:rsidRPr="00A144D7">
        <w:t xml:space="preserve">To confirm further that the slower rate of stage 2 was due to </w:t>
      </w:r>
      <w:proofErr w:type="spellStart"/>
      <w:r w:rsidRPr="00A144D7">
        <w:t>isomerisation</w:t>
      </w:r>
      <w:proofErr w:type="spellEnd"/>
      <w:r w:rsidRPr="00A144D7">
        <w:t xml:space="preserve"> of</w:t>
      </w:r>
      <w:r w:rsidRPr="00A144D7">
        <w:rPr>
          <w:b/>
        </w:rPr>
        <w:t xml:space="preserve"> 4</w:t>
      </w:r>
      <w:r w:rsidRPr="00A144D7">
        <w:t xml:space="preserve"> to DMI, a mixture of </w:t>
      </w:r>
      <w:r w:rsidRPr="00A144D7">
        <w:rPr>
          <w:b/>
        </w:rPr>
        <w:t>4</w:t>
      </w:r>
      <w:r w:rsidRPr="00A144D7">
        <w:t xml:space="preserve"> and DMI (~3:1</w:t>
      </w:r>
      <w:r w:rsidR="000A3E51">
        <w:t xml:space="preserve"> </w:t>
      </w:r>
      <w:r w:rsidR="000A3E51" w:rsidRPr="00F96419">
        <w:t>ratio</w:t>
      </w:r>
      <w:r w:rsidR="00B3192C" w:rsidRPr="00F96419">
        <w:t>, see Figure S9</w:t>
      </w:r>
      <w:r w:rsidR="00741131" w:rsidRPr="00F96419">
        <w:t xml:space="preserve">, confirming no </w:t>
      </w:r>
      <w:proofErr w:type="spellStart"/>
      <w:r w:rsidR="00741131" w:rsidRPr="00F96419">
        <w:t>citraconate</w:t>
      </w:r>
      <w:proofErr w:type="spellEnd"/>
      <w:r w:rsidR="00741131" w:rsidRPr="00F96419">
        <w:t xml:space="preserve"> observed</w:t>
      </w:r>
      <w:r w:rsidRPr="00F96419">
        <w:t xml:space="preserve">) was </w:t>
      </w:r>
      <w:proofErr w:type="spellStart"/>
      <w:r w:rsidRPr="00F96419">
        <w:t>synthesised</w:t>
      </w:r>
      <w:proofErr w:type="spellEnd"/>
      <w:r w:rsidRPr="00F96419">
        <w:t xml:space="preserve"> (using the above mentioned triethylamine protocol to reach the thermodynamic equilibrium of the </w:t>
      </w:r>
      <w:r w:rsidR="004D5369" w:rsidRPr="00F96419">
        <w:t>isomerization</w:t>
      </w:r>
      <w:r w:rsidRPr="00F96419">
        <w:t xml:space="preserve">). </w:t>
      </w:r>
      <w:r w:rsidR="003E7984" w:rsidRPr="00F96419">
        <w:rPr>
          <w:lang w:val="de-DE"/>
        </w:rPr>
        <w:t xml:space="preserve">This was intended to mimic the reaction mixture at a later stage where conversion of </w:t>
      </w:r>
      <w:r w:rsidR="003E7984" w:rsidRPr="00F96419">
        <w:rPr>
          <w:b/>
          <w:lang w:val="de-DE"/>
        </w:rPr>
        <w:t>4</w:t>
      </w:r>
      <w:r w:rsidR="003E7984" w:rsidRPr="00F96419">
        <w:rPr>
          <w:lang w:val="de-DE"/>
        </w:rPr>
        <w:t xml:space="preserve"> to DMI was the rate determining step for the formation of </w:t>
      </w:r>
      <w:r w:rsidR="003E7984" w:rsidRPr="00F96419">
        <w:rPr>
          <w:b/>
          <w:lang w:val="de-DE"/>
        </w:rPr>
        <w:t>3</w:t>
      </w:r>
      <w:r w:rsidR="003E7984" w:rsidRPr="00F96419">
        <w:rPr>
          <w:lang w:val="de-DE"/>
        </w:rPr>
        <w:t xml:space="preserve">. </w:t>
      </w:r>
      <w:r w:rsidRPr="00F96419">
        <w:t xml:space="preserve">A comparison of the reaction profiles (Figure 6) </w:t>
      </w:r>
      <w:r w:rsidRPr="00F96419">
        <w:t xml:space="preserve">demonstrated an obvious difference in the initial rate of formation of </w:t>
      </w:r>
      <w:r w:rsidRPr="00F96419">
        <w:rPr>
          <w:b/>
        </w:rPr>
        <w:t>3</w:t>
      </w:r>
      <w:r w:rsidRPr="00F96419">
        <w:t xml:space="preserve"> (green line), with the </w:t>
      </w:r>
      <w:r w:rsidRPr="00F96419">
        <w:rPr>
          <w:b/>
        </w:rPr>
        <w:t>4</w:t>
      </w:r>
      <w:proofErr w:type="gramStart"/>
      <w:r w:rsidRPr="00F96419">
        <w:t>:DMI</w:t>
      </w:r>
      <w:proofErr w:type="gramEnd"/>
      <w:r w:rsidRPr="00F96419">
        <w:t xml:space="preserve"> equilibrium (Figure 6 </w:t>
      </w:r>
      <w:r w:rsidRPr="00F96419">
        <w:rPr>
          <w:b/>
        </w:rPr>
        <w:t>A</w:t>
      </w:r>
      <w:r w:rsidRPr="00F96419">
        <w:t xml:space="preserve">) clearly slowing the formation of the </w:t>
      </w:r>
      <w:proofErr w:type="spellStart"/>
      <w:r w:rsidRPr="00F96419">
        <w:t>aza</w:t>
      </w:r>
      <w:proofErr w:type="spellEnd"/>
      <w:r w:rsidRPr="00F96419">
        <w:t>-Michael product (</w:t>
      </w:r>
      <w:r w:rsidRPr="00F96419">
        <w:rPr>
          <w:b/>
        </w:rPr>
        <w:t>3</w:t>
      </w:r>
      <w:r w:rsidRPr="00F96419">
        <w:t>) from the outset.</w:t>
      </w:r>
    </w:p>
    <w:p w14:paraId="5C9EDDA3" w14:textId="2297C46A" w:rsidR="00A144D7" w:rsidRPr="00F96419" w:rsidRDefault="00503C01" w:rsidP="00A144D7">
      <w:pPr>
        <w:pStyle w:val="P1"/>
        <w:rPr>
          <w:sz w:val="14"/>
        </w:rPr>
      </w:pPr>
      <w:r w:rsidRPr="00F96419">
        <w:rPr>
          <w:b/>
          <w:sz w:val="14"/>
        </w:rPr>
        <w:t>Figure 6</w:t>
      </w:r>
      <w:r w:rsidR="00A144D7" w:rsidRPr="00F96419">
        <w:rPr>
          <w:b/>
          <w:sz w:val="14"/>
        </w:rPr>
        <w:t>.</w:t>
      </w:r>
      <w:r w:rsidR="00A144D7" w:rsidRPr="00F96419">
        <w:rPr>
          <w:sz w:val="14"/>
        </w:rPr>
        <w:t xml:space="preserve"> </w:t>
      </w:r>
      <w:r w:rsidR="00A144D7" w:rsidRPr="00F96419">
        <w:rPr>
          <w:bCs/>
          <w:iCs/>
          <w:sz w:val="14"/>
          <w:lang w:val="de-DE"/>
        </w:rPr>
        <w:t xml:space="preserve">Effects of changing from a </w:t>
      </w:r>
      <w:r w:rsidR="00A144D7" w:rsidRPr="00F96419">
        <w:rPr>
          <w:b/>
          <w:bCs/>
          <w:iCs/>
          <w:sz w:val="14"/>
          <w:lang w:val="de-DE"/>
        </w:rPr>
        <w:t>4</w:t>
      </w:r>
      <w:r w:rsidR="00A144D7" w:rsidRPr="00F96419">
        <w:rPr>
          <w:bCs/>
          <w:iCs/>
          <w:sz w:val="14"/>
          <w:lang w:val="de-DE"/>
        </w:rPr>
        <w:t>:DMI 3:1 starting material (</w:t>
      </w:r>
      <w:r w:rsidR="00A144D7" w:rsidRPr="00F96419">
        <w:rPr>
          <w:b/>
          <w:bCs/>
          <w:iCs/>
          <w:sz w:val="14"/>
          <w:lang w:val="de-DE"/>
        </w:rPr>
        <w:t>A</w:t>
      </w:r>
      <w:r w:rsidR="00A144D7" w:rsidRPr="00F96419">
        <w:rPr>
          <w:bCs/>
          <w:iCs/>
          <w:sz w:val="14"/>
          <w:lang w:val="de-DE"/>
        </w:rPr>
        <w:t>) to a solely DMI (</w:t>
      </w:r>
      <w:r w:rsidR="00A144D7" w:rsidRPr="00F96419">
        <w:rPr>
          <w:b/>
          <w:bCs/>
          <w:iCs/>
          <w:sz w:val="14"/>
          <w:lang w:val="de-DE"/>
        </w:rPr>
        <w:t>1</w:t>
      </w:r>
      <w:r w:rsidR="00A144D7" w:rsidRPr="00F96419">
        <w:rPr>
          <w:bCs/>
          <w:iCs/>
          <w:sz w:val="14"/>
          <w:lang w:val="de-DE"/>
        </w:rPr>
        <w:t>) starting material (</w:t>
      </w:r>
      <w:r w:rsidR="00A144D7" w:rsidRPr="00F96419">
        <w:rPr>
          <w:b/>
          <w:bCs/>
          <w:iCs/>
          <w:sz w:val="14"/>
          <w:lang w:val="de-DE"/>
        </w:rPr>
        <w:t>B</w:t>
      </w:r>
      <w:r w:rsidR="00A144D7" w:rsidRPr="00F96419">
        <w:rPr>
          <w:bCs/>
          <w:iCs/>
          <w:sz w:val="14"/>
          <w:lang w:val="de-DE"/>
        </w:rPr>
        <w:t xml:space="preserve">) on the reaction profiles for the aza-Michael addition of DEA to DMI. 2.5 mmol of 3:1 </w:t>
      </w:r>
      <w:r w:rsidR="00A144D7" w:rsidRPr="00F96419">
        <w:rPr>
          <w:b/>
          <w:bCs/>
          <w:iCs/>
          <w:sz w:val="14"/>
          <w:lang w:val="de-DE"/>
        </w:rPr>
        <w:t>4</w:t>
      </w:r>
      <w:r w:rsidR="00A144D7" w:rsidRPr="00F96419">
        <w:rPr>
          <w:bCs/>
          <w:iCs/>
          <w:sz w:val="14"/>
          <w:lang w:val="de-DE"/>
        </w:rPr>
        <w:t>:DMI (</w:t>
      </w:r>
      <w:r w:rsidR="00A144D7" w:rsidRPr="00F96419">
        <w:rPr>
          <w:b/>
          <w:bCs/>
          <w:iCs/>
          <w:sz w:val="14"/>
          <w:lang w:val="de-DE"/>
        </w:rPr>
        <w:t>A</w:t>
      </w:r>
      <w:r w:rsidR="00A144D7" w:rsidRPr="00F96419">
        <w:rPr>
          <w:bCs/>
          <w:iCs/>
          <w:sz w:val="14"/>
          <w:lang w:val="de-DE"/>
        </w:rPr>
        <w:t>) or DMI (</w:t>
      </w:r>
      <w:r w:rsidR="00A144D7" w:rsidRPr="00F96419">
        <w:rPr>
          <w:b/>
          <w:bCs/>
          <w:iCs/>
          <w:sz w:val="14"/>
          <w:lang w:val="de-DE"/>
        </w:rPr>
        <w:t>B</w:t>
      </w:r>
      <w:r w:rsidR="00A144D7" w:rsidRPr="00F96419">
        <w:rPr>
          <w:bCs/>
          <w:iCs/>
          <w:sz w:val="14"/>
          <w:lang w:val="de-DE"/>
        </w:rPr>
        <w:t>), 20 mmol DEA, no catalyst, no solvent, 21 ºC</w:t>
      </w:r>
      <w:r w:rsidR="00A144D7" w:rsidRPr="00F96419">
        <w:rPr>
          <w:sz w:val="14"/>
        </w:rPr>
        <w:t>.</w:t>
      </w:r>
    </w:p>
    <w:p w14:paraId="1BA2BA0B" w14:textId="77777777" w:rsidR="00503C01" w:rsidRPr="00F96419" w:rsidRDefault="00503C01" w:rsidP="00A144D7">
      <w:pPr>
        <w:pStyle w:val="P1"/>
        <w:rPr>
          <w:sz w:val="14"/>
        </w:rPr>
      </w:pPr>
    </w:p>
    <w:p w14:paraId="4A392AE7" w14:textId="2DF30AA3" w:rsidR="00503C01" w:rsidRPr="00F96419" w:rsidRDefault="00503C01" w:rsidP="00503C01">
      <w:pPr>
        <w:pStyle w:val="P1"/>
      </w:pPr>
      <w:r w:rsidRPr="00F96419">
        <w:t>As is shown by the ln[</w:t>
      </w:r>
      <w:r w:rsidRPr="00F96419">
        <w:rPr>
          <w:b/>
        </w:rPr>
        <w:t>4</w:t>
      </w:r>
      <w:r w:rsidRPr="00F96419">
        <w:t xml:space="preserve">] vs time plots in Figure 7, trends for the DMI (blue line) and 3:1 </w:t>
      </w:r>
      <w:r w:rsidRPr="00F96419">
        <w:rPr>
          <w:b/>
        </w:rPr>
        <w:t>4</w:t>
      </w:r>
      <w:r w:rsidRPr="00F96419">
        <w:t xml:space="preserve">:DMI (red line) starting material systems have similar gradients for the later stages of reaction (&gt;4 hours). The parallel trend confirming the proposed theory that the slower rate for the second stage of the reaction was indeed due to </w:t>
      </w:r>
      <w:r w:rsidR="003E7984" w:rsidRPr="00F96419">
        <w:t>the</w:t>
      </w:r>
      <w:r w:rsidRPr="00F96419">
        <w:t xml:space="preserve"> equilibrium </w:t>
      </w:r>
      <w:r w:rsidR="003E7984" w:rsidRPr="00F96419">
        <w:t xml:space="preserve">between </w:t>
      </w:r>
      <w:r w:rsidR="003E7984" w:rsidRPr="00F96419">
        <w:rPr>
          <w:b/>
        </w:rPr>
        <w:t>4</w:t>
      </w:r>
      <w:r w:rsidR="003E7984" w:rsidRPr="00F96419">
        <w:t xml:space="preserve"> and DMI </w:t>
      </w:r>
      <w:r w:rsidRPr="00F96419">
        <w:t xml:space="preserve">controlling rate of formation of </w:t>
      </w:r>
      <w:r w:rsidRPr="00F96419">
        <w:rPr>
          <w:b/>
        </w:rPr>
        <w:t>3</w:t>
      </w:r>
      <w:r w:rsidRPr="00F96419">
        <w:t>.</w:t>
      </w:r>
    </w:p>
    <w:p w14:paraId="118634B7" w14:textId="0C132BFB" w:rsidR="00503C01" w:rsidRDefault="00503C01" w:rsidP="003E7984">
      <w:pPr>
        <w:pStyle w:val="P1withIndendation"/>
      </w:pPr>
      <w:r w:rsidRPr="00F96419">
        <w:t xml:space="preserve">All </w:t>
      </w:r>
      <w:proofErr w:type="spellStart"/>
      <w:r w:rsidRPr="00F96419">
        <w:t>DEA</w:t>
      </w:r>
      <w:proofErr w:type="gramStart"/>
      <w:r w:rsidRPr="00F96419">
        <w:t>:acceptor</w:t>
      </w:r>
      <w:proofErr w:type="spellEnd"/>
      <w:proofErr w:type="gramEnd"/>
      <w:r w:rsidRPr="00F96419">
        <w:t xml:space="preserve"> ratios agreed with a similar </w:t>
      </w:r>
      <w:proofErr w:type="spellStart"/>
      <w:r w:rsidRPr="00F96419">
        <w:rPr>
          <w:i/>
        </w:rPr>
        <w:t>k</w:t>
      </w:r>
      <w:r w:rsidRPr="00F96419">
        <w:rPr>
          <w:i/>
          <w:vertAlign w:val="subscript"/>
        </w:rPr>
        <w:t>obs</w:t>
      </w:r>
      <w:proofErr w:type="spellEnd"/>
      <w:r w:rsidRPr="00F96419">
        <w:t xml:space="preserve"> when replacing the DMI with the equilibrated 3:1 </w:t>
      </w:r>
      <w:r w:rsidRPr="00F96419">
        <w:rPr>
          <w:b/>
        </w:rPr>
        <w:t>4</w:t>
      </w:r>
      <w:r w:rsidRPr="00F96419">
        <w:t xml:space="preserve">:DMI (Table 2). The </w:t>
      </w:r>
      <w:proofErr w:type="spellStart"/>
      <w:r w:rsidRPr="00F96419">
        <w:rPr>
          <w:i/>
        </w:rPr>
        <w:t>k</w:t>
      </w:r>
      <w:r w:rsidRPr="00F96419">
        <w:rPr>
          <w:i/>
          <w:vertAlign w:val="subscript"/>
        </w:rPr>
        <w:t>obs</w:t>
      </w:r>
      <w:proofErr w:type="spellEnd"/>
      <w:r w:rsidRPr="00F96419">
        <w:t xml:space="preserve"> for the </w:t>
      </w:r>
      <w:r w:rsidRPr="00F96419">
        <w:rPr>
          <w:b/>
        </w:rPr>
        <w:t>4</w:t>
      </w:r>
      <w:proofErr w:type="gramStart"/>
      <w:r w:rsidRPr="00F96419">
        <w:t>:DMI</w:t>
      </w:r>
      <w:proofErr w:type="gramEnd"/>
      <w:r w:rsidRPr="00F96419">
        <w:t xml:space="preserve"> system was found to increase from 2:1 to 4:1 </w:t>
      </w:r>
      <w:proofErr w:type="spellStart"/>
      <w:r w:rsidRPr="00F96419">
        <w:t>DEA:acceptor</w:t>
      </w:r>
      <w:proofErr w:type="spellEnd"/>
      <w:r w:rsidRPr="00F96419">
        <w:t xml:space="preserve"> ratio (Figure S8), but then did not increase further with increasing DEA. This may indicate that from 4:1 </w:t>
      </w:r>
      <w:proofErr w:type="spellStart"/>
      <w:r w:rsidRPr="00F96419">
        <w:t>DEA:acceptor</w:t>
      </w:r>
      <w:proofErr w:type="spellEnd"/>
      <w:r w:rsidRPr="00F96419">
        <w:t xml:space="preserve"> and above the required quantity of DEA needed to catalyse the isomerisation of</w:t>
      </w:r>
      <w:r w:rsidRPr="00F96419">
        <w:rPr>
          <w:b/>
        </w:rPr>
        <w:t xml:space="preserve"> 4</w:t>
      </w:r>
      <w:r w:rsidRPr="00F96419">
        <w:t xml:space="preserve"> back to DMI was present, and again reiterates the role that DEA plays in promoting the isomerisation</w:t>
      </w:r>
      <w:r w:rsidR="003E7984" w:rsidRPr="00F96419">
        <w:t>. This observation is reinforced</w:t>
      </w:r>
      <w:r w:rsidRPr="00F96419">
        <w:t xml:space="preserve"> when comparing % yield over time for the different </w:t>
      </w:r>
      <w:proofErr w:type="spellStart"/>
      <w:r w:rsidRPr="00F96419">
        <w:t>DEA</w:t>
      </w:r>
      <w:proofErr w:type="gramStart"/>
      <w:r w:rsidRPr="00F96419">
        <w:t>:acceptor</w:t>
      </w:r>
      <w:proofErr w:type="spellEnd"/>
      <w:proofErr w:type="gramEnd"/>
      <w:r w:rsidRPr="00F96419">
        <w:t xml:space="preserve"> ratios, with 4:1 and above all being nearly identical (Figure S</w:t>
      </w:r>
      <w:r w:rsidR="00B3192C" w:rsidRPr="00F96419">
        <w:t>10</w:t>
      </w:r>
      <w:r w:rsidRPr="00F96419">
        <w:t>).</w:t>
      </w:r>
      <w:r w:rsidR="003E7984" w:rsidRPr="00F96419">
        <w:t xml:space="preserve"> DEA’s</w:t>
      </w:r>
      <w:r w:rsidR="003E7984">
        <w:t xml:space="preserve"> role as a </w:t>
      </w:r>
      <w:r w:rsidR="00212FD6" w:rsidRPr="000B09B8">
        <w:rPr>
          <w:noProof/>
          <w:sz w:val="14"/>
          <w:lang w:eastAsia="en-GB"/>
        </w:rPr>
        <w:lastRenderedPageBreak/>
        <w:drawing>
          <wp:anchor distT="0" distB="0" distL="114300" distR="114300" simplePos="0" relativeHeight="251678208" behindDoc="1" locked="0" layoutInCell="1" allowOverlap="1" wp14:anchorId="648376A6" wp14:editId="437A2A97">
            <wp:simplePos x="0" y="0"/>
            <wp:positionH relativeFrom="margin">
              <wp:align>right</wp:align>
            </wp:positionH>
            <wp:positionV relativeFrom="paragraph">
              <wp:posOffset>46355</wp:posOffset>
            </wp:positionV>
            <wp:extent cx="3095625" cy="1894294"/>
            <wp:effectExtent l="0" t="0" r="0" b="0"/>
            <wp:wrapTight wrapText="bothSides">
              <wp:wrapPolygon edited="0">
                <wp:start x="665" y="0"/>
                <wp:lineTo x="0" y="652"/>
                <wp:lineTo x="0" y="19985"/>
                <wp:lineTo x="2127" y="20854"/>
                <wp:lineTo x="2127" y="21289"/>
                <wp:lineTo x="21135" y="21289"/>
                <wp:lineTo x="21401" y="20420"/>
                <wp:lineTo x="21401" y="0"/>
                <wp:lineTo x="66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625" cy="1894294"/>
                    </a:xfrm>
                    <a:prstGeom prst="rect">
                      <a:avLst/>
                    </a:prstGeom>
                    <a:noFill/>
                  </pic:spPr>
                </pic:pic>
              </a:graphicData>
            </a:graphic>
          </wp:anchor>
        </w:drawing>
      </w:r>
      <w:r w:rsidR="003E7984">
        <w:t>catalyst may also account for the aforementioned non-linear behaviour of 1</w:t>
      </w:r>
      <w:r w:rsidR="003E7984" w:rsidRPr="003E7984">
        <w:rPr>
          <w:vertAlign w:val="superscript"/>
        </w:rPr>
        <w:t>st</w:t>
      </w:r>
      <w:r w:rsidR="003E7984">
        <w:t xml:space="preserve"> order [DMI] kinetic plots at low DEA</w:t>
      </w:r>
      <w:proofErr w:type="gramStart"/>
      <w:r w:rsidR="003E7984">
        <w:t>:DMI</w:t>
      </w:r>
      <w:proofErr w:type="gramEnd"/>
      <w:r w:rsidR="003E7984">
        <w:t xml:space="preserve"> ratios. </w:t>
      </w:r>
    </w:p>
    <w:p w14:paraId="2B20D094" w14:textId="064618FC" w:rsidR="00503C01" w:rsidRPr="00503C01" w:rsidRDefault="00503C01" w:rsidP="00503C01">
      <w:pPr>
        <w:pStyle w:val="P1"/>
        <w:rPr>
          <w:sz w:val="14"/>
        </w:rPr>
      </w:pPr>
      <w:r w:rsidRPr="00503C01">
        <w:rPr>
          <w:noProof/>
          <w:sz w:val="14"/>
          <w:lang w:val="en-GB" w:eastAsia="en-GB"/>
        </w:rPr>
        <w:drawing>
          <wp:anchor distT="0" distB="0" distL="114300" distR="114300" simplePos="0" relativeHeight="251677184" behindDoc="1" locked="0" layoutInCell="1" allowOverlap="1" wp14:anchorId="706F0892" wp14:editId="637D3ABF">
            <wp:simplePos x="0" y="0"/>
            <wp:positionH relativeFrom="column">
              <wp:align>right</wp:align>
            </wp:positionH>
            <wp:positionV relativeFrom="paragraph">
              <wp:posOffset>0</wp:posOffset>
            </wp:positionV>
            <wp:extent cx="3095625" cy="1933001"/>
            <wp:effectExtent l="0" t="0" r="0" b="0"/>
            <wp:wrapTight wrapText="bothSides">
              <wp:wrapPolygon edited="0">
                <wp:start x="0" y="0"/>
                <wp:lineTo x="0" y="21288"/>
                <wp:lineTo x="21401" y="21288"/>
                <wp:lineTo x="214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5625" cy="1933001"/>
                    </a:xfrm>
                    <a:prstGeom prst="rect">
                      <a:avLst/>
                    </a:prstGeom>
                    <a:noFill/>
                  </pic:spPr>
                </pic:pic>
              </a:graphicData>
            </a:graphic>
          </wp:anchor>
        </w:drawing>
      </w:r>
      <w:r w:rsidRPr="00503C01">
        <w:rPr>
          <w:b/>
          <w:sz w:val="14"/>
        </w:rPr>
        <w:t>Figure 7.</w:t>
      </w:r>
      <w:r w:rsidRPr="00503C01">
        <w:rPr>
          <w:sz w:val="14"/>
        </w:rPr>
        <w:t xml:space="preserve"> </w:t>
      </w:r>
      <w:r w:rsidRPr="00503C01">
        <w:rPr>
          <w:bCs/>
          <w:iCs/>
          <w:sz w:val="14"/>
          <w:lang w:val="de-DE"/>
        </w:rPr>
        <w:t xml:space="preserve">Effects of changing from DMI (red) to </w:t>
      </w:r>
      <w:r w:rsidRPr="00503C01">
        <w:rPr>
          <w:b/>
          <w:bCs/>
          <w:iCs/>
          <w:sz w:val="14"/>
          <w:lang w:val="de-DE"/>
        </w:rPr>
        <w:t>4</w:t>
      </w:r>
      <w:r w:rsidRPr="00503C01">
        <w:rPr>
          <w:bCs/>
          <w:iCs/>
          <w:sz w:val="14"/>
          <w:lang w:val="de-DE"/>
        </w:rPr>
        <w:t>:DMI 3:1 (blue) starting material on the plot of ln[</w:t>
      </w:r>
      <w:r w:rsidRPr="00503C01">
        <w:rPr>
          <w:b/>
          <w:bCs/>
          <w:iCs/>
          <w:sz w:val="14"/>
          <w:lang w:val="de-DE"/>
        </w:rPr>
        <w:t>4</w:t>
      </w:r>
      <w:r w:rsidRPr="00503C01">
        <w:rPr>
          <w:bCs/>
          <w:iCs/>
          <w:sz w:val="14"/>
          <w:lang w:val="de-DE"/>
        </w:rPr>
        <w:t xml:space="preserve">] versus reaction time [h]. 2.5 mmol DMI (red) or 3:1 </w:t>
      </w:r>
      <w:r w:rsidRPr="00503C01">
        <w:rPr>
          <w:b/>
          <w:bCs/>
          <w:iCs/>
          <w:sz w:val="14"/>
          <w:lang w:val="de-DE"/>
        </w:rPr>
        <w:t>4</w:t>
      </w:r>
      <w:r w:rsidRPr="00503C01">
        <w:rPr>
          <w:bCs/>
          <w:iCs/>
          <w:sz w:val="14"/>
          <w:lang w:val="de-DE"/>
        </w:rPr>
        <w:t>:DMI (blue), 20 mmol DEA, no catalyst, no solvent, 21 °C</w:t>
      </w:r>
      <w:r w:rsidRPr="00503C01">
        <w:rPr>
          <w:sz w:val="14"/>
        </w:rPr>
        <w:t>.</w:t>
      </w:r>
    </w:p>
    <w:tbl>
      <w:tblPr>
        <w:tblW w:w="0" w:type="auto"/>
        <w:tblLook w:val="01E0" w:firstRow="1" w:lastRow="1" w:firstColumn="1" w:lastColumn="1" w:noHBand="0" w:noVBand="0"/>
      </w:tblPr>
      <w:tblGrid>
        <w:gridCol w:w="1080"/>
        <w:gridCol w:w="952"/>
        <w:gridCol w:w="699"/>
        <w:gridCol w:w="955"/>
        <w:gridCol w:w="1189"/>
      </w:tblGrid>
      <w:tr w:rsidR="005C4C9A" w:rsidRPr="00F01D4C" w14:paraId="39681836" w14:textId="77777777" w:rsidTr="005C4C9A">
        <w:tc>
          <w:tcPr>
            <w:tcW w:w="4875" w:type="dxa"/>
            <w:gridSpan w:val="5"/>
            <w:shd w:val="clear" w:color="auto" w:fill="auto"/>
          </w:tcPr>
          <w:p w14:paraId="3C984A53" w14:textId="77777777" w:rsidR="005C4C9A" w:rsidRPr="007F20D9" w:rsidRDefault="005C4C9A" w:rsidP="00392567">
            <w:pPr>
              <w:pStyle w:val="TableSpacer"/>
              <w:spacing w:before="240"/>
            </w:pPr>
          </w:p>
        </w:tc>
      </w:tr>
      <w:tr w:rsidR="005C4C9A" w:rsidRPr="00F01D4C" w14:paraId="60FE6A2B" w14:textId="77777777" w:rsidTr="005C4C9A">
        <w:tc>
          <w:tcPr>
            <w:tcW w:w="4875" w:type="dxa"/>
            <w:gridSpan w:val="5"/>
            <w:tcBorders>
              <w:bottom w:val="single" w:sz="8" w:space="0" w:color="auto"/>
            </w:tcBorders>
            <w:shd w:val="clear" w:color="auto" w:fill="auto"/>
          </w:tcPr>
          <w:p w14:paraId="6975A316" w14:textId="3485E2D9" w:rsidR="005C4C9A" w:rsidRDefault="005C4C9A" w:rsidP="005C4C9A">
            <w:pPr>
              <w:pStyle w:val="TableCaption"/>
            </w:pPr>
            <w:r>
              <w:rPr>
                <w:b/>
              </w:rPr>
              <w:t>Table 2</w:t>
            </w:r>
            <w:r w:rsidRPr="00B11686">
              <w:rPr>
                <w:b/>
              </w:rPr>
              <w:t>.</w:t>
            </w:r>
            <w:r>
              <w:t xml:space="preserve"> </w:t>
            </w:r>
            <w:r w:rsidRPr="005C4C9A">
              <w:rPr>
                <w:lang w:val="de-DE"/>
              </w:rPr>
              <w:t>Comparison of k</w:t>
            </w:r>
            <w:r w:rsidRPr="005C4C9A">
              <w:rPr>
                <w:vertAlign w:val="subscript"/>
                <w:lang w:val="de-DE"/>
              </w:rPr>
              <w:t>obs</w:t>
            </w:r>
            <w:r w:rsidRPr="005C4C9A">
              <w:rPr>
                <w:lang w:val="de-DE"/>
              </w:rPr>
              <w:t xml:space="preserve"> for the DEA + DMI (9-72 hours, stage 2) or DEA + 3:1 </w:t>
            </w:r>
            <w:r w:rsidRPr="005C4C9A">
              <w:rPr>
                <w:b/>
                <w:lang w:val="de-DE"/>
              </w:rPr>
              <w:t>4</w:t>
            </w:r>
            <w:r w:rsidRPr="005C4C9A">
              <w:rPr>
                <w:lang w:val="de-DE"/>
              </w:rPr>
              <w:t>:DMI (0-48 hours, single stage) addition, with various DEA:DMI ratios</w:t>
            </w:r>
            <w:r w:rsidRPr="00C2552A">
              <w:t>.</w:t>
            </w:r>
          </w:p>
        </w:tc>
      </w:tr>
      <w:tr w:rsidR="005C4C9A" w:rsidRPr="00EA067A" w14:paraId="5B2DC48A" w14:textId="77777777" w:rsidTr="005C4C9A">
        <w:tc>
          <w:tcPr>
            <w:tcW w:w="1080" w:type="dxa"/>
            <w:tcBorders>
              <w:top w:val="single" w:sz="12" w:space="0" w:color="auto"/>
              <w:bottom w:val="single" w:sz="4" w:space="0" w:color="auto"/>
            </w:tcBorders>
            <w:shd w:val="clear" w:color="auto" w:fill="auto"/>
            <w:vAlign w:val="center"/>
          </w:tcPr>
          <w:p w14:paraId="1B3BD209" w14:textId="21EFE2FB" w:rsidR="005C4C9A" w:rsidRPr="005C4C9A" w:rsidRDefault="005C4C9A" w:rsidP="005C4C9A">
            <w:pPr>
              <w:pStyle w:val="TableHead"/>
              <w:rPr>
                <w:rFonts w:cs="Arial"/>
              </w:rPr>
            </w:pPr>
            <w:proofErr w:type="spellStart"/>
            <w:r w:rsidRPr="005C4C9A">
              <w:rPr>
                <w:rFonts w:cs="Arial"/>
              </w:rPr>
              <w:t>DEA:acceptor</w:t>
            </w:r>
            <w:proofErr w:type="spellEnd"/>
            <w:r w:rsidRPr="005C4C9A">
              <w:rPr>
                <w:rFonts w:cs="Arial"/>
              </w:rPr>
              <w:t xml:space="preserve"> ratio</w:t>
            </w:r>
          </w:p>
        </w:tc>
        <w:tc>
          <w:tcPr>
            <w:tcW w:w="952" w:type="dxa"/>
            <w:tcBorders>
              <w:top w:val="single" w:sz="12" w:space="0" w:color="auto"/>
              <w:bottom w:val="single" w:sz="4" w:space="0" w:color="auto"/>
            </w:tcBorders>
            <w:shd w:val="clear" w:color="auto" w:fill="auto"/>
            <w:vAlign w:val="center"/>
          </w:tcPr>
          <w:p w14:paraId="60F551A6" w14:textId="53F80A9D" w:rsidR="005C4C9A" w:rsidRPr="005C4C9A" w:rsidRDefault="005C4C9A" w:rsidP="005C4C9A">
            <w:pPr>
              <w:pStyle w:val="TableHead"/>
              <w:rPr>
                <w:rFonts w:cs="Arial"/>
              </w:rPr>
            </w:pPr>
            <w:r w:rsidRPr="005C4C9A">
              <w:rPr>
                <w:rFonts w:cs="Arial"/>
              </w:rPr>
              <w:t>Acceptor</w:t>
            </w:r>
          </w:p>
        </w:tc>
        <w:tc>
          <w:tcPr>
            <w:tcW w:w="699" w:type="dxa"/>
            <w:tcBorders>
              <w:top w:val="single" w:sz="12" w:space="0" w:color="auto"/>
              <w:bottom w:val="single" w:sz="4" w:space="0" w:color="auto"/>
            </w:tcBorders>
            <w:shd w:val="clear" w:color="auto" w:fill="auto"/>
            <w:vAlign w:val="center"/>
          </w:tcPr>
          <w:p w14:paraId="3E4A37DA" w14:textId="67AF18AD" w:rsidR="005C4C9A" w:rsidRPr="005C4C9A" w:rsidRDefault="005C4C9A" w:rsidP="005C4C9A">
            <w:pPr>
              <w:pStyle w:val="TableHead"/>
              <w:rPr>
                <w:rFonts w:cs="Arial"/>
              </w:rPr>
            </w:pPr>
            <w:proofErr w:type="spellStart"/>
            <w:r w:rsidRPr="005C4C9A">
              <w:rPr>
                <w:rFonts w:cs="Arial"/>
              </w:rPr>
              <w:t>k</w:t>
            </w:r>
            <w:r w:rsidRPr="005C4C9A">
              <w:rPr>
                <w:rFonts w:cs="Arial"/>
                <w:vertAlign w:val="subscript"/>
              </w:rPr>
              <w:t>obs</w:t>
            </w:r>
            <w:proofErr w:type="spellEnd"/>
            <w:r w:rsidRPr="005C4C9A">
              <w:rPr>
                <w:rFonts w:cs="Arial"/>
              </w:rPr>
              <w:t xml:space="preserve"> x 10</w:t>
            </w:r>
            <w:r w:rsidRPr="005C4C9A">
              <w:rPr>
                <w:rFonts w:cs="Arial"/>
                <w:vertAlign w:val="superscript"/>
              </w:rPr>
              <w:t>-6</w:t>
            </w:r>
            <w:r>
              <w:rPr>
                <w:rFonts w:cs="Arial"/>
                <w:vertAlign w:val="superscript"/>
              </w:rPr>
              <w:t xml:space="preserve"> </w:t>
            </w:r>
            <w:r w:rsidRPr="005C4C9A">
              <w:rPr>
                <w:rFonts w:cs="Arial"/>
              </w:rPr>
              <w:t>/</w:t>
            </w:r>
            <w:r>
              <w:rPr>
                <w:rFonts w:cs="Arial"/>
              </w:rPr>
              <w:t xml:space="preserve"> </w:t>
            </w:r>
            <w:r w:rsidRPr="005C4C9A">
              <w:rPr>
                <w:rFonts w:cs="Arial"/>
              </w:rPr>
              <w:t>s</w:t>
            </w:r>
            <w:r w:rsidRPr="005C4C9A">
              <w:rPr>
                <w:rFonts w:cs="Arial"/>
                <w:vertAlign w:val="superscript"/>
              </w:rPr>
              <w:t>-1</w:t>
            </w:r>
          </w:p>
        </w:tc>
        <w:tc>
          <w:tcPr>
            <w:tcW w:w="955" w:type="dxa"/>
            <w:tcBorders>
              <w:top w:val="single" w:sz="12" w:space="0" w:color="auto"/>
              <w:bottom w:val="single" w:sz="4" w:space="0" w:color="auto"/>
            </w:tcBorders>
            <w:shd w:val="clear" w:color="auto" w:fill="auto"/>
            <w:vAlign w:val="center"/>
          </w:tcPr>
          <w:p w14:paraId="404D8B46" w14:textId="13F94EE2" w:rsidR="005C4C9A" w:rsidRPr="005C4C9A" w:rsidRDefault="005C4C9A" w:rsidP="005C4C9A">
            <w:pPr>
              <w:pStyle w:val="TableHead"/>
              <w:rPr>
                <w:rFonts w:cs="Arial"/>
              </w:rPr>
            </w:pPr>
            <w:r w:rsidRPr="005C4C9A">
              <w:rPr>
                <w:rFonts w:cs="Arial"/>
              </w:rPr>
              <w:t>R</w:t>
            </w:r>
            <w:r w:rsidRPr="005C4C9A">
              <w:rPr>
                <w:rFonts w:cs="Arial"/>
                <w:vertAlign w:val="superscript"/>
              </w:rPr>
              <w:t>2</w:t>
            </w:r>
            <w:r w:rsidRPr="005C4C9A">
              <w:rPr>
                <w:rFonts w:cs="Arial"/>
              </w:rPr>
              <w:t xml:space="preserve"> of 1</w:t>
            </w:r>
            <w:r w:rsidRPr="005C4C9A">
              <w:rPr>
                <w:rFonts w:cs="Arial"/>
                <w:vertAlign w:val="superscript"/>
              </w:rPr>
              <w:t>st</w:t>
            </w:r>
            <w:r w:rsidRPr="005C4C9A">
              <w:rPr>
                <w:rFonts w:cs="Arial"/>
              </w:rPr>
              <w:t xml:space="preserve"> order plot</w:t>
            </w:r>
          </w:p>
        </w:tc>
        <w:tc>
          <w:tcPr>
            <w:tcW w:w="1189" w:type="dxa"/>
            <w:tcBorders>
              <w:top w:val="single" w:sz="12" w:space="0" w:color="auto"/>
              <w:bottom w:val="single" w:sz="4" w:space="0" w:color="auto"/>
            </w:tcBorders>
            <w:vAlign w:val="center"/>
          </w:tcPr>
          <w:p w14:paraId="537AAF5A" w14:textId="6E127825" w:rsidR="005C4C9A" w:rsidRPr="005C4C9A" w:rsidRDefault="005C4C9A" w:rsidP="005C4C9A">
            <w:pPr>
              <w:pStyle w:val="Newparagraph"/>
              <w:spacing w:line="240" w:lineRule="auto"/>
              <w:ind w:firstLine="0"/>
              <w:jc w:val="center"/>
              <w:rPr>
                <w:rFonts w:ascii="Arial" w:hAnsi="Arial" w:cs="Arial"/>
                <w:sz w:val="14"/>
                <w:szCs w:val="14"/>
              </w:rPr>
            </w:pPr>
            <w:r>
              <w:rPr>
                <w:rFonts w:ascii="Arial" w:hAnsi="Arial" w:cs="Arial"/>
                <w:sz w:val="14"/>
                <w:szCs w:val="14"/>
                <w:vertAlign w:val="superscript"/>
              </w:rPr>
              <w:t>[a]</w:t>
            </w:r>
            <w:r w:rsidRPr="005C4C9A">
              <w:rPr>
                <w:rFonts w:ascii="Arial" w:hAnsi="Arial" w:cs="Arial"/>
                <w:sz w:val="14"/>
                <w:szCs w:val="14"/>
              </w:rPr>
              <w:t>Rate at t</w:t>
            </w:r>
            <w:r w:rsidRPr="005C4C9A">
              <w:rPr>
                <w:rFonts w:ascii="Arial" w:hAnsi="Arial" w:cs="Arial"/>
                <w:sz w:val="14"/>
                <w:szCs w:val="14"/>
                <w:vertAlign w:val="subscript"/>
              </w:rPr>
              <w:t>0</w:t>
            </w:r>
            <w:r>
              <w:rPr>
                <w:rFonts w:ascii="Arial" w:hAnsi="Arial" w:cs="Arial"/>
                <w:sz w:val="14"/>
                <w:szCs w:val="14"/>
              </w:rPr>
              <w:t xml:space="preserve"> </w:t>
            </w:r>
          </w:p>
          <w:p w14:paraId="79E4D78A" w14:textId="00616292" w:rsidR="005C4C9A" w:rsidRPr="005C4C9A" w:rsidRDefault="005C4C9A" w:rsidP="005C4C9A">
            <w:pPr>
              <w:pStyle w:val="TableHead"/>
              <w:rPr>
                <w:rFonts w:cs="Arial"/>
              </w:rPr>
            </w:pPr>
            <w:r>
              <w:rPr>
                <w:rFonts w:cs="Arial"/>
              </w:rPr>
              <w:t>x</w:t>
            </w:r>
            <w:r w:rsidRPr="005C4C9A">
              <w:rPr>
                <w:rFonts w:cs="Arial"/>
              </w:rPr>
              <w:t>10</w:t>
            </w:r>
            <w:r w:rsidRPr="005C4C9A">
              <w:rPr>
                <w:rFonts w:cs="Arial"/>
                <w:vertAlign w:val="superscript"/>
              </w:rPr>
              <w:t>-6</w:t>
            </w:r>
            <w:r>
              <w:rPr>
                <w:rFonts w:cs="Arial"/>
                <w:vertAlign w:val="superscript"/>
              </w:rPr>
              <w:t xml:space="preserve"> </w:t>
            </w:r>
            <w:r w:rsidRPr="005C4C9A">
              <w:rPr>
                <w:rFonts w:cs="Arial"/>
              </w:rPr>
              <w:t>/</w:t>
            </w:r>
            <w:r>
              <w:rPr>
                <w:rFonts w:cs="Arial"/>
              </w:rPr>
              <w:t xml:space="preserve"> </w:t>
            </w:r>
            <w:proofErr w:type="spellStart"/>
            <w:r w:rsidRPr="005C4C9A">
              <w:rPr>
                <w:rFonts w:cs="Arial"/>
              </w:rPr>
              <w:t>mol</w:t>
            </w:r>
            <w:proofErr w:type="spellEnd"/>
            <w:r w:rsidRPr="005C4C9A">
              <w:rPr>
                <w:rFonts w:cs="Arial"/>
              </w:rPr>
              <w:t xml:space="preserve"> L</w:t>
            </w:r>
            <w:r w:rsidRPr="005C4C9A">
              <w:rPr>
                <w:rFonts w:cs="Arial"/>
                <w:vertAlign w:val="superscript"/>
              </w:rPr>
              <w:t>-1</w:t>
            </w:r>
            <w:r w:rsidRPr="005C4C9A">
              <w:rPr>
                <w:rFonts w:cs="Arial"/>
              </w:rPr>
              <w:t>s</w:t>
            </w:r>
            <w:r w:rsidRPr="005C4C9A">
              <w:rPr>
                <w:rFonts w:cs="Arial"/>
                <w:vertAlign w:val="superscript"/>
              </w:rPr>
              <w:t>-1</w:t>
            </w:r>
          </w:p>
        </w:tc>
      </w:tr>
      <w:tr w:rsidR="005C4C9A" w:rsidRPr="00EA067A" w14:paraId="6BC5CAAA" w14:textId="77777777" w:rsidTr="00392567">
        <w:tc>
          <w:tcPr>
            <w:tcW w:w="1080" w:type="dxa"/>
            <w:vMerge w:val="restart"/>
            <w:tcBorders>
              <w:top w:val="single" w:sz="4" w:space="0" w:color="auto"/>
              <w:bottom w:val="nil"/>
            </w:tcBorders>
            <w:shd w:val="clear" w:color="auto" w:fill="auto"/>
            <w:vAlign w:val="center"/>
          </w:tcPr>
          <w:p w14:paraId="05D9C245" w14:textId="254A5D9D" w:rsidR="005C4C9A" w:rsidRPr="005C4C9A" w:rsidRDefault="005C4C9A" w:rsidP="005C4C9A">
            <w:pPr>
              <w:pStyle w:val="TableBody"/>
              <w:jc w:val="left"/>
            </w:pPr>
            <w:r w:rsidRPr="005C4C9A">
              <w:rPr>
                <w:szCs w:val="20"/>
              </w:rPr>
              <w:t>2:1</w:t>
            </w:r>
          </w:p>
        </w:tc>
        <w:tc>
          <w:tcPr>
            <w:tcW w:w="952" w:type="dxa"/>
            <w:tcBorders>
              <w:top w:val="single" w:sz="4" w:space="0" w:color="auto"/>
              <w:bottom w:val="single" w:sz="4" w:space="0" w:color="auto"/>
            </w:tcBorders>
            <w:shd w:val="clear" w:color="auto" w:fill="auto"/>
            <w:vAlign w:val="center"/>
          </w:tcPr>
          <w:p w14:paraId="0DFE8645" w14:textId="6AA95679" w:rsidR="005C4C9A" w:rsidRPr="005C4C9A" w:rsidRDefault="005C4C9A" w:rsidP="005C4C9A">
            <w:pPr>
              <w:pStyle w:val="TableBody"/>
            </w:pPr>
            <w:r w:rsidRPr="005C4C9A">
              <w:rPr>
                <w:szCs w:val="20"/>
              </w:rPr>
              <w:t>DMI</w:t>
            </w:r>
          </w:p>
        </w:tc>
        <w:tc>
          <w:tcPr>
            <w:tcW w:w="699" w:type="dxa"/>
            <w:tcBorders>
              <w:top w:val="nil"/>
              <w:bottom w:val="single" w:sz="4" w:space="0" w:color="auto"/>
            </w:tcBorders>
            <w:shd w:val="clear" w:color="auto" w:fill="auto"/>
            <w:vAlign w:val="center"/>
          </w:tcPr>
          <w:p w14:paraId="7871B731" w14:textId="7F4E942E" w:rsidR="005C4C9A" w:rsidRPr="005C4C9A" w:rsidRDefault="005C4C9A" w:rsidP="005C4C9A">
            <w:pPr>
              <w:pStyle w:val="TableBody"/>
            </w:pPr>
            <w:r w:rsidRPr="005C4C9A">
              <w:rPr>
                <w:szCs w:val="20"/>
              </w:rPr>
              <w:t>2.6</w:t>
            </w:r>
          </w:p>
        </w:tc>
        <w:tc>
          <w:tcPr>
            <w:tcW w:w="955" w:type="dxa"/>
            <w:tcBorders>
              <w:top w:val="nil"/>
              <w:bottom w:val="single" w:sz="4" w:space="0" w:color="auto"/>
            </w:tcBorders>
            <w:shd w:val="clear" w:color="auto" w:fill="auto"/>
            <w:vAlign w:val="center"/>
          </w:tcPr>
          <w:p w14:paraId="3D8DC07F" w14:textId="46DC45EA" w:rsidR="005C4C9A" w:rsidRPr="005C4C9A" w:rsidRDefault="005C4C9A" w:rsidP="005C4C9A">
            <w:pPr>
              <w:pStyle w:val="TableBody"/>
            </w:pPr>
            <w:r w:rsidRPr="005C4C9A">
              <w:rPr>
                <w:szCs w:val="20"/>
              </w:rPr>
              <w:t>0.9896</w:t>
            </w:r>
          </w:p>
        </w:tc>
        <w:tc>
          <w:tcPr>
            <w:tcW w:w="1189" w:type="dxa"/>
            <w:tcBorders>
              <w:top w:val="nil"/>
              <w:bottom w:val="single" w:sz="4" w:space="0" w:color="auto"/>
            </w:tcBorders>
            <w:vAlign w:val="center"/>
          </w:tcPr>
          <w:p w14:paraId="021E9EFC" w14:textId="53A4F77B" w:rsidR="005C4C9A" w:rsidRPr="005C4C9A" w:rsidRDefault="005C4C9A" w:rsidP="005C4C9A">
            <w:pPr>
              <w:pStyle w:val="TableBody"/>
            </w:pPr>
            <w:r w:rsidRPr="005C4C9A">
              <w:rPr>
                <w:szCs w:val="20"/>
              </w:rPr>
              <w:t>3.8</w:t>
            </w:r>
          </w:p>
        </w:tc>
      </w:tr>
      <w:tr w:rsidR="005C4C9A" w:rsidRPr="00EA067A" w14:paraId="39DEDE46" w14:textId="77777777" w:rsidTr="00392567">
        <w:tc>
          <w:tcPr>
            <w:tcW w:w="1080" w:type="dxa"/>
            <w:vMerge/>
            <w:tcBorders>
              <w:top w:val="nil"/>
              <w:bottom w:val="single" w:sz="4" w:space="0" w:color="auto"/>
            </w:tcBorders>
            <w:shd w:val="clear" w:color="auto" w:fill="auto"/>
            <w:vAlign w:val="center"/>
          </w:tcPr>
          <w:p w14:paraId="1DFCC08B" w14:textId="6E05BC6F" w:rsidR="005C4C9A" w:rsidRPr="005C4C9A" w:rsidRDefault="005C4C9A" w:rsidP="005C4C9A">
            <w:pPr>
              <w:pStyle w:val="TableBody"/>
            </w:pPr>
          </w:p>
        </w:tc>
        <w:tc>
          <w:tcPr>
            <w:tcW w:w="952" w:type="dxa"/>
            <w:tcBorders>
              <w:top w:val="single" w:sz="4" w:space="0" w:color="auto"/>
              <w:bottom w:val="single" w:sz="4" w:space="0" w:color="auto"/>
            </w:tcBorders>
            <w:shd w:val="clear" w:color="auto" w:fill="auto"/>
            <w:vAlign w:val="center"/>
          </w:tcPr>
          <w:p w14:paraId="04734461" w14:textId="599922A7" w:rsidR="005C4C9A" w:rsidRPr="005C4C9A" w:rsidRDefault="005C4C9A" w:rsidP="005C4C9A">
            <w:pPr>
              <w:pStyle w:val="TableBody"/>
            </w:pPr>
            <w:r w:rsidRPr="005C4C9A">
              <w:rPr>
                <w:szCs w:val="20"/>
              </w:rPr>
              <w:t xml:space="preserve">3:1 </w:t>
            </w:r>
            <w:r w:rsidRPr="005C4C9A">
              <w:rPr>
                <w:b/>
                <w:szCs w:val="20"/>
              </w:rPr>
              <w:t>4</w:t>
            </w:r>
            <w:r w:rsidRPr="005C4C9A">
              <w:rPr>
                <w:szCs w:val="20"/>
              </w:rPr>
              <w:t>:DMI</w:t>
            </w:r>
          </w:p>
        </w:tc>
        <w:tc>
          <w:tcPr>
            <w:tcW w:w="699" w:type="dxa"/>
            <w:tcBorders>
              <w:top w:val="single" w:sz="4" w:space="0" w:color="auto"/>
              <w:bottom w:val="single" w:sz="4" w:space="0" w:color="auto"/>
            </w:tcBorders>
            <w:shd w:val="clear" w:color="auto" w:fill="auto"/>
            <w:vAlign w:val="center"/>
          </w:tcPr>
          <w:p w14:paraId="5512F356" w14:textId="5EBD04C6" w:rsidR="005C4C9A" w:rsidRPr="005C4C9A" w:rsidRDefault="005C4C9A" w:rsidP="005C4C9A">
            <w:pPr>
              <w:pStyle w:val="TableBody"/>
            </w:pPr>
            <w:r w:rsidRPr="005C4C9A">
              <w:rPr>
                <w:szCs w:val="20"/>
              </w:rPr>
              <w:t>4.6</w:t>
            </w:r>
          </w:p>
        </w:tc>
        <w:tc>
          <w:tcPr>
            <w:tcW w:w="955" w:type="dxa"/>
            <w:tcBorders>
              <w:top w:val="single" w:sz="4" w:space="0" w:color="auto"/>
              <w:bottom w:val="single" w:sz="4" w:space="0" w:color="auto"/>
            </w:tcBorders>
            <w:shd w:val="clear" w:color="auto" w:fill="auto"/>
            <w:vAlign w:val="center"/>
          </w:tcPr>
          <w:p w14:paraId="530E09A0" w14:textId="35603919" w:rsidR="005C4C9A" w:rsidRPr="005C4C9A" w:rsidRDefault="005C4C9A" w:rsidP="005C4C9A">
            <w:pPr>
              <w:pStyle w:val="TableBody"/>
            </w:pPr>
            <w:r w:rsidRPr="005C4C9A">
              <w:rPr>
                <w:szCs w:val="20"/>
              </w:rPr>
              <w:t>0.9981</w:t>
            </w:r>
          </w:p>
        </w:tc>
        <w:tc>
          <w:tcPr>
            <w:tcW w:w="1189" w:type="dxa"/>
            <w:tcBorders>
              <w:top w:val="single" w:sz="4" w:space="0" w:color="auto"/>
              <w:bottom w:val="single" w:sz="4" w:space="0" w:color="auto"/>
            </w:tcBorders>
            <w:vAlign w:val="center"/>
          </w:tcPr>
          <w:p w14:paraId="5C9421BB" w14:textId="60ED6275" w:rsidR="005C4C9A" w:rsidRPr="005C4C9A" w:rsidRDefault="005C4C9A" w:rsidP="005C4C9A">
            <w:pPr>
              <w:pStyle w:val="TableBody"/>
            </w:pPr>
            <w:r w:rsidRPr="005C4C9A">
              <w:rPr>
                <w:szCs w:val="20"/>
              </w:rPr>
              <w:t>10.2</w:t>
            </w:r>
          </w:p>
        </w:tc>
      </w:tr>
      <w:tr w:rsidR="005C4C9A" w:rsidRPr="00EA067A" w14:paraId="31467F94" w14:textId="77777777" w:rsidTr="00392567">
        <w:tc>
          <w:tcPr>
            <w:tcW w:w="1080" w:type="dxa"/>
            <w:vMerge w:val="restart"/>
            <w:tcBorders>
              <w:top w:val="single" w:sz="4" w:space="0" w:color="auto"/>
              <w:bottom w:val="nil"/>
            </w:tcBorders>
            <w:shd w:val="clear" w:color="auto" w:fill="auto"/>
            <w:vAlign w:val="center"/>
          </w:tcPr>
          <w:p w14:paraId="3BD3F58B" w14:textId="0DE6FE25" w:rsidR="005C4C9A" w:rsidRPr="005C4C9A" w:rsidRDefault="005C4C9A" w:rsidP="005C4C9A">
            <w:pPr>
              <w:pStyle w:val="TableBody"/>
              <w:jc w:val="left"/>
            </w:pPr>
            <w:r w:rsidRPr="005C4C9A">
              <w:rPr>
                <w:szCs w:val="20"/>
              </w:rPr>
              <w:t>4:1</w:t>
            </w:r>
          </w:p>
        </w:tc>
        <w:tc>
          <w:tcPr>
            <w:tcW w:w="952" w:type="dxa"/>
            <w:tcBorders>
              <w:top w:val="single" w:sz="4" w:space="0" w:color="auto"/>
              <w:bottom w:val="single" w:sz="4" w:space="0" w:color="auto"/>
            </w:tcBorders>
            <w:shd w:val="clear" w:color="auto" w:fill="auto"/>
            <w:vAlign w:val="center"/>
          </w:tcPr>
          <w:p w14:paraId="4D7FAD3D" w14:textId="71B08A89" w:rsidR="005C4C9A" w:rsidRPr="005C4C9A" w:rsidRDefault="005C4C9A" w:rsidP="005C4C9A">
            <w:pPr>
              <w:pStyle w:val="TableBody"/>
            </w:pPr>
            <w:r w:rsidRPr="005C4C9A">
              <w:rPr>
                <w:szCs w:val="20"/>
              </w:rPr>
              <w:t>DMI</w:t>
            </w:r>
          </w:p>
        </w:tc>
        <w:tc>
          <w:tcPr>
            <w:tcW w:w="699" w:type="dxa"/>
            <w:tcBorders>
              <w:top w:val="nil"/>
              <w:bottom w:val="single" w:sz="4" w:space="0" w:color="auto"/>
            </w:tcBorders>
            <w:shd w:val="clear" w:color="auto" w:fill="auto"/>
            <w:vAlign w:val="center"/>
          </w:tcPr>
          <w:p w14:paraId="3625CB89" w14:textId="1CBF9359" w:rsidR="005C4C9A" w:rsidRPr="005C4C9A" w:rsidRDefault="005C4C9A" w:rsidP="005C4C9A">
            <w:pPr>
              <w:pStyle w:val="TableBody"/>
            </w:pPr>
            <w:r w:rsidRPr="005C4C9A">
              <w:rPr>
                <w:szCs w:val="20"/>
              </w:rPr>
              <w:t>5.8</w:t>
            </w:r>
          </w:p>
        </w:tc>
        <w:tc>
          <w:tcPr>
            <w:tcW w:w="955" w:type="dxa"/>
            <w:tcBorders>
              <w:top w:val="nil"/>
              <w:bottom w:val="single" w:sz="4" w:space="0" w:color="auto"/>
            </w:tcBorders>
            <w:shd w:val="clear" w:color="auto" w:fill="auto"/>
            <w:vAlign w:val="center"/>
          </w:tcPr>
          <w:p w14:paraId="62FE2075" w14:textId="7C846E42" w:rsidR="005C4C9A" w:rsidRPr="005C4C9A" w:rsidRDefault="005C4C9A" w:rsidP="005C4C9A">
            <w:pPr>
              <w:pStyle w:val="TableBody"/>
            </w:pPr>
            <w:r w:rsidRPr="005C4C9A">
              <w:rPr>
                <w:szCs w:val="20"/>
              </w:rPr>
              <w:t>0.9937</w:t>
            </w:r>
          </w:p>
        </w:tc>
        <w:tc>
          <w:tcPr>
            <w:tcW w:w="1189" w:type="dxa"/>
            <w:tcBorders>
              <w:top w:val="nil"/>
              <w:bottom w:val="single" w:sz="4" w:space="0" w:color="auto"/>
            </w:tcBorders>
            <w:vAlign w:val="center"/>
          </w:tcPr>
          <w:p w14:paraId="4A30129A" w14:textId="7F86CB44" w:rsidR="005C4C9A" w:rsidRPr="005C4C9A" w:rsidRDefault="005C4C9A" w:rsidP="005C4C9A">
            <w:pPr>
              <w:pStyle w:val="TableBody"/>
            </w:pPr>
            <w:r w:rsidRPr="005C4C9A">
              <w:rPr>
                <w:szCs w:val="20"/>
              </w:rPr>
              <w:t>7.9</w:t>
            </w:r>
          </w:p>
        </w:tc>
      </w:tr>
      <w:tr w:rsidR="005C4C9A" w:rsidRPr="00EA067A" w14:paraId="282F6B24" w14:textId="77777777" w:rsidTr="00392567">
        <w:tc>
          <w:tcPr>
            <w:tcW w:w="1080" w:type="dxa"/>
            <w:vMerge/>
            <w:tcBorders>
              <w:top w:val="nil"/>
              <w:bottom w:val="single" w:sz="4" w:space="0" w:color="auto"/>
            </w:tcBorders>
            <w:shd w:val="clear" w:color="auto" w:fill="auto"/>
            <w:vAlign w:val="center"/>
          </w:tcPr>
          <w:p w14:paraId="78991E3D" w14:textId="77777777" w:rsidR="005C4C9A" w:rsidRPr="005C4C9A" w:rsidRDefault="005C4C9A" w:rsidP="005C4C9A">
            <w:pPr>
              <w:pStyle w:val="TableBody"/>
            </w:pPr>
          </w:p>
        </w:tc>
        <w:tc>
          <w:tcPr>
            <w:tcW w:w="952" w:type="dxa"/>
            <w:tcBorders>
              <w:top w:val="single" w:sz="4" w:space="0" w:color="auto"/>
              <w:bottom w:val="single" w:sz="4" w:space="0" w:color="auto"/>
            </w:tcBorders>
            <w:shd w:val="clear" w:color="auto" w:fill="auto"/>
            <w:vAlign w:val="center"/>
          </w:tcPr>
          <w:p w14:paraId="252A0352" w14:textId="7130E21E" w:rsidR="005C4C9A" w:rsidRPr="005C4C9A" w:rsidRDefault="005C4C9A" w:rsidP="005C4C9A">
            <w:pPr>
              <w:pStyle w:val="TableBody"/>
            </w:pPr>
            <w:r w:rsidRPr="005C4C9A">
              <w:rPr>
                <w:szCs w:val="20"/>
              </w:rPr>
              <w:t xml:space="preserve">3:1 </w:t>
            </w:r>
            <w:r w:rsidRPr="005C4C9A">
              <w:rPr>
                <w:b/>
                <w:szCs w:val="20"/>
              </w:rPr>
              <w:t>4</w:t>
            </w:r>
            <w:r w:rsidRPr="005C4C9A">
              <w:rPr>
                <w:szCs w:val="20"/>
              </w:rPr>
              <w:t>:DMI</w:t>
            </w:r>
          </w:p>
        </w:tc>
        <w:tc>
          <w:tcPr>
            <w:tcW w:w="699" w:type="dxa"/>
            <w:tcBorders>
              <w:top w:val="single" w:sz="4" w:space="0" w:color="auto"/>
              <w:bottom w:val="single" w:sz="4" w:space="0" w:color="auto"/>
            </w:tcBorders>
            <w:shd w:val="clear" w:color="auto" w:fill="auto"/>
            <w:vAlign w:val="center"/>
          </w:tcPr>
          <w:p w14:paraId="57CE2FB0" w14:textId="7B5F80D2" w:rsidR="005C4C9A" w:rsidRPr="005C4C9A" w:rsidRDefault="005C4C9A" w:rsidP="005C4C9A">
            <w:pPr>
              <w:pStyle w:val="TableBody"/>
            </w:pPr>
            <w:r w:rsidRPr="005C4C9A">
              <w:rPr>
                <w:szCs w:val="20"/>
              </w:rPr>
              <w:t>6.0</w:t>
            </w:r>
          </w:p>
        </w:tc>
        <w:tc>
          <w:tcPr>
            <w:tcW w:w="955" w:type="dxa"/>
            <w:tcBorders>
              <w:top w:val="single" w:sz="4" w:space="0" w:color="auto"/>
              <w:bottom w:val="single" w:sz="4" w:space="0" w:color="auto"/>
            </w:tcBorders>
            <w:shd w:val="clear" w:color="auto" w:fill="auto"/>
            <w:vAlign w:val="center"/>
          </w:tcPr>
          <w:p w14:paraId="1C08570B" w14:textId="19DDF619" w:rsidR="005C4C9A" w:rsidRPr="005C4C9A" w:rsidRDefault="005C4C9A" w:rsidP="005C4C9A">
            <w:pPr>
              <w:pStyle w:val="TableBody"/>
            </w:pPr>
            <w:r w:rsidRPr="005C4C9A">
              <w:rPr>
                <w:szCs w:val="20"/>
              </w:rPr>
              <w:t>0.9970</w:t>
            </w:r>
          </w:p>
        </w:tc>
        <w:tc>
          <w:tcPr>
            <w:tcW w:w="1189" w:type="dxa"/>
            <w:tcBorders>
              <w:top w:val="single" w:sz="4" w:space="0" w:color="auto"/>
              <w:bottom w:val="single" w:sz="4" w:space="0" w:color="auto"/>
            </w:tcBorders>
            <w:vAlign w:val="center"/>
          </w:tcPr>
          <w:p w14:paraId="07000E40" w14:textId="7336CFA8" w:rsidR="005C4C9A" w:rsidRPr="005C4C9A" w:rsidRDefault="005C4C9A" w:rsidP="005C4C9A">
            <w:pPr>
              <w:pStyle w:val="TableBody"/>
            </w:pPr>
            <w:r w:rsidRPr="005C4C9A">
              <w:rPr>
                <w:szCs w:val="20"/>
              </w:rPr>
              <w:t>8.1</w:t>
            </w:r>
          </w:p>
        </w:tc>
      </w:tr>
      <w:tr w:rsidR="005C4C9A" w:rsidRPr="00EA067A" w14:paraId="6E83E5FB" w14:textId="77777777" w:rsidTr="00392567">
        <w:tc>
          <w:tcPr>
            <w:tcW w:w="1080" w:type="dxa"/>
            <w:vMerge w:val="restart"/>
            <w:tcBorders>
              <w:top w:val="single" w:sz="4" w:space="0" w:color="auto"/>
              <w:bottom w:val="nil"/>
            </w:tcBorders>
            <w:shd w:val="clear" w:color="auto" w:fill="auto"/>
            <w:vAlign w:val="center"/>
          </w:tcPr>
          <w:p w14:paraId="63F0EFF4" w14:textId="18C9512D" w:rsidR="005C4C9A" w:rsidRPr="005C4C9A" w:rsidRDefault="005C4C9A" w:rsidP="005C4C9A">
            <w:pPr>
              <w:pStyle w:val="TableBody"/>
              <w:jc w:val="left"/>
            </w:pPr>
            <w:r w:rsidRPr="005C4C9A">
              <w:rPr>
                <w:szCs w:val="20"/>
              </w:rPr>
              <w:t>6:1</w:t>
            </w:r>
          </w:p>
        </w:tc>
        <w:tc>
          <w:tcPr>
            <w:tcW w:w="952" w:type="dxa"/>
            <w:tcBorders>
              <w:top w:val="single" w:sz="4" w:space="0" w:color="auto"/>
              <w:bottom w:val="single" w:sz="4" w:space="0" w:color="auto"/>
            </w:tcBorders>
            <w:shd w:val="clear" w:color="auto" w:fill="auto"/>
            <w:vAlign w:val="center"/>
          </w:tcPr>
          <w:p w14:paraId="2D3246D9" w14:textId="7E3BE99C" w:rsidR="005C4C9A" w:rsidRPr="005C4C9A" w:rsidRDefault="005C4C9A" w:rsidP="005C4C9A">
            <w:pPr>
              <w:pStyle w:val="TableBody"/>
            </w:pPr>
            <w:r w:rsidRPr="005C4C9A">
              <w:rPr>
                <w:szCs w:val="20"/>
              </w:rPr>
              <w:t>DMI</w:t>
            </w:r>
          </w:p>
        </w:tc>
        <w:tc>
          <w:tcPr>
            <w:tcW w:w="699" w:type="dxa"/>
            <w:tcBorders>
              <w:top w:val="nil"/>
              <w:bottom w:val="single" w:sz="4" w:space="0" w:color="auto"/>
            </w:tcBorders>
            <w:shd w:val="clear" w:color="auto" w:fill="auto"/>
            <w:vAlign w:val="center"/>
          </w:tcPr>
          <w:p w14:paraId="7CD4B930" w14:textId="5B7E03B3" w:rsidR="005C4C9A" w:rsidRPr="005C4C9A" w:rsidRDefault="005C4C9A" w:rsidP="005C4C9A">
            <w:pPr>
              <w:pStyle w:val="TableBody"/>
            </w:pPr>
            <w:r w:rsidRPr="005C4C9A">
              <w:rPr>
                <w:szCs w:val="20"/>
              </w:rPr>
              <w:t>7.4</w:t>
            </w:r>
          </w:p>
        </w:tc>
        <w:tc>
          <w:tcPr>
            <w:tcW w:w="955" w:type="dxa"/>
            <w:tcBorders>
              <w:top w:val="nil"/>
              <w:bottom w:val="single" w:sz="4" w:space="0" w:color="auto"/>
            </w:tcBorders>
            <w:shd w:val="clear" w:color="auto" w:fill="auto"/>
            <w:vAlign w:val="center"/>
          </w:tcPr>
          <w:p w14:paraId="07D155C9" w14:textId="0C60D7F3" w:rsidR="005C4C9A" w:rsidRPr="005C4C9A" w:rsidRDefault="005C4C9A" w:rsidP="005C4C9A">
            <w:pPr>
              <w:pStyle w:val="TableBody"/>
            </w:pPr>
            <w:r w:rsidRPr="005C4C9A">
              <w:rPr>
                <w:szCs w:val="20"/>
              </w:rPr>
              <w:t>0.9938</w:t>
            </w:r>
          </w:p>
        </w:tc>
        <w:tc>
          <w:tcPr>
            <w:tcW w:w="1189" w:type="dxa"/>
            <w:tcBorders>
              <w:top w:val="nil"/>
              <w:bottom w:val="single" w:sz="4" w:space="0" w:color="auto"/>
            </w:tcBorders>
            <w:vAlign w:val="center"/>
          </w:tcPr>
          <w:p w14:paraId="04D4B081" w14:textId="7A494AA8" w:rsidR="005C4C9A" w:rsidRPr="005C4C9A" w:rsidRDefault="005C4C9A" w:rsidP="005C4C9A">
            <w:pPr>
              <w:pStyle w:val="TableBody"/>
            </w:pPr>
            <w:r w:rsidRPr="005C4C9A">
              <w:rPr>
                <w:szCs w:val="20"/>
              </w:rPr>
              <w:t>8.7</w:t>
            </w:r>
          </w:p>
        </w:tc>
      </w:tr>
      <w:tr w:rsidR="005C4C9A" w:rsidRPr="00EA067A" w14:paraId="4574EA45" w14:textId="77777777" w:rsidTr="00392567">
        <w:tc>
          <w:tcPr>
            <w:tcW w:w="1080" w:type="dxa"/>
            <w:vMerge/>
            <w:tcBorders>
              <w:top w:val="nil"/>
              <w:bottom w:val="single" w:sz="4" w:space="0" w:color="auto"/>
            </w:tcBorders>
            <w:shd w:val="clear" w:color="auto" w:fill="auto"/>
            <w:vAlign w:val="center"/>
          </w:tcPr>
          <w:p w14:paraId="551AB2F6" w14:textId="77777777" w:rsidR="005C4C9A" w:rsidRPr="005C4C9A" w:rsidRDefault="005C4C9A" w:rsidP="005C4C9A">
            <w:pPr>
              <w:pStyle w:val="TableBody"/>
            </w:pPr>
          </w:p>
        </w:tc>
        <w:tc>
          <w:tcPr>
            <w:tcW w:w="952" w:type="dxa"/>
            <w:tcBorders>
              <w:top w:val="single" w:sz="4" w:space="0" w:color="auto"/>
              <w:bottom w:val="single" w:sz="4" w:space="0" w:color="auto"/>
            </w:tcBorders>
            <w:shd w:val="clear" w:color="auto" w:fill="auto"/>
            <w:vAlign w:val="center"/>
          </w:tcPr>
          <w:p w14:paraId="7C506D0B" w14:textId="68C216E0" w:rsidR="005C4C9A" w:rsidRPr="005C4C9A" w:rsidRDefault="005C4C9A" w:rsidP="005C4C9A">
            <w:pPr>
              <w:pStyle w:val="TableBody"/>
            </w:pPr>
            <w:r w:rsidRPr="005C4C9A">
              <w:rPr>
                <w:szCs w:val="20"/>
              </w:rPr>
              <w:t xml:space="preserve">3:1 </w:t>
            </w:r>
            <w:r w:rsidRPr="005C4C9A">
              <w:rPr>
                <w:b/>
                <w:szCs w:val="20"/>
              </w:rPr>
              <w:t>4</w:t>
            </w:r>
            <w:r w:rsidRPr="005C4C9A">
              <w:rPr>
                <w:szCs w:val="20"/>
              </w:rPr>
              <w:t>:DMI</w:t>
            </w:r>
          </w:p>
        </w:tc>
        <w:tc>
          <w:tcPr>
            <w:tcW w:w="699" w:type="dxa"/>
            <w:tcBorders>
              <w:top w:val="single" w:sz="4" w:space="0" w:color="auto"/>
              <w:bottom w:val="single" w:sz="4" w:space="0" w:color="auto"/>
            </w:tcBorders>
            <w:shd w:val="clear" w:color="auto" w:fill="auto"/>
            <w:vAlign w:val="center"/>
          </w:tcPr>
          <w:p w14:paraId="34742B7E" w14:textId="78F47559" w:rsidR="005C4C9A" w:rsidRPr="005C4C9A" w:rsidRDefault="005C4C9A" w:rsidP="005C4C9A">
            <w:pPr>
              <w:pStyle w:val="TableBody"/>
            </w:pPr>
            <w:r w:rsidRPr="005C4C9A">
              <w:rPr>
                <w:szCs w:val="20"/>
              </w:rPr>
              <w:t>6.3</w:t>
            </w:r>
          </w:p>
        </w:tc>
        <w:tc>
          <w:tcPr>
            <w:tcW w:w="955" w:type="dxa"/>
            <w:tcBorders>
              <w:top w:val="single" w:sz="4" w:space="0" w:color="auto"/>
              <w:bottom w:val="single" w:sz="4" w:space="0" w:color="auto"/>
            </w:tcBorders>
            <w:shd w:val="clear" w:color="auto" w:fill="auto"/>
            <w:vAlign w:val="center"/>
          </w:tcPr>
          <w:p w14:paraId="67B55B36" w14:textId="5546DFB3" w:rsidR="005C4C9A" w:rsidRPr="005C4C9A" w:rsidRDefault="005C4C9A" w:rsidP="005C4C9A">
            <w:pPr>
              <w:pStyle w:val="TableBody"/>
            </w:pPr>
            <w:r w:rsidRPr="005C4C9A">
              <w:rPr>
                <w:szCs w:val="20"/>
              </w:rPr>
              <w:t>0.9957</w:t>
            </w:r>
          </w:p>
        </w:tc>
        <w:tc>
          <w:tcPr>
            <w:tcW w:w="1189" w:type="dxa"/>
            <w:tcBorders>
              <w:top w:val="single" w:sz="4" w:space="0" w:color="auto"/>
              <w:bottom w:val="single" w:sz="4" w:space="0" w:color="auto"/>
            </w:tcBorders>
            <w:vAlign w:val="center"/>
          </w:tcPr>
          <w:p w14:paraId="337909AC" w14:textId="1B00C659" w:rsidR="005C4C9A" w:rsidRPr="005C4C9A" w:rsidRDefault="005C4C9A" w:rsidP="005C4C9A">
            <w:pPr>
              <w:pStyle w:val="TableBody"/>
            </w:pPr>
            <w:r w:rsidRPr="005C4C9A">
              <w:rPr>
                <w:szCs w:val="20"/>
              </w:rPr>
              <w:t>6.3</w:t>
            </w:r>
          </w:p>
        </w:tc>
      </w:tr>
      <w:tr w:rsidR="005C4C9A" w:rsidRPr="00EA067A" w14:paraId="7209678B" w14:textId="77777777" w:rsidTr="00392567">
        <w:tc>
          <w:tcPr>
            <w:tcW w:w="1080" w:type="dxa"/>
            <w:vMerge w:val="restart"/>
            <w:tcBorders>
              <w:top w:val="single" w:sz="4" w:space="0" w:color="auto"/>
              <w:bottom w:val="single" w:sz="4" w:space="0" w:color="auto"/>
            </w:tcBorders>
            <w:shd w:val="clear" w:color="auto" w:fill="auto"/>
            <w:vAlign w:val="center"/>
          </w:tcPr>
          <w:p w14:paraId="314C2A4A" w14:textId="07C60287" w:rsidR="005C4C9A" w:rsidRPr="005C4C9A" w:rsidRDefault="005C4C9A" w:rsidP="005C4C9A">
            <w:pPr>
              <w:pStyle w:val="TableBody"/>
              <w:jc w:val="left"/>
            </w:pPr>
            <w:r w:rsidRPr="005C4C9A">
              <w:rPr>
                <w:szCs w:val="20"/>
              </w:rPr>
              <w:t>8:1</w:t>
            </w:r>
          </w:p>
        </w:tc>
        <w:tc>
          <w:tcPr>
            <w:tcW w:w="952" w:type="dxa"/>
            <w:tcBorders>
              <w:top w:val="single" w:sz="4" w:space="0" w:color="auto"/>
              <w:bottom w:val="single" w:sz="4" w:space="0" w:color="auto"/>
            </w:tcBorders>
            <w:shd w:val="clear" w:color="auto" w:fill="auto"/>
            <w:vAlign w:val="center"/>
          </w:tcPr>
          <w:p w14:paraId="51FF2ED3" w14:textId="525B9F60" w:rsidR="005C4C9A" w:rsidRPr="005C4C9A" w:rsidRDefault="005C4C9A" w:rsidP="005C4C9A">
            <w:pPr>
              <w:pStyle w:val="TableBody"/>
            </w:pPr>
            <w:r w:rsidRPr="005C4C9A">
              <w:rPr>
                <w:szCs w:val="20"/>
              </w:rPr>
              <w:t>DMI</w:t>
            </w:r>
          </w:p>
        </w:tc>
        <w:tc>
          <w:tcPr>
            <w:tcW w:w="699" w:type="dxa"/>
            <w:tcBorders>
              <w:top w:val="single" w:sz="4" w:space="0" w:color="auto"/>
              <w:bottom w:val="single" w:sz="4" w:space="0" w:color="auto"/>
            </w:tcBorders>
            <w:shd w:val="clear" w:color="auto" w:fill="auto"/>
            <w:vAlign w:val="center"/>
          </w:tcPr>
          <w:p w14:paraId="45B43B9B" w14:textId="1FFE17C5" w:rsidR="005C4C9A" w:rsidRPr="005C4C9A" w:rsidRDefault="005C4C9A" w:rsidP="005C4C9A">
            <w:pPr>
              <w:pStyle w:val="TableBody"/>
            </w:pPr>
            <w:r w:rsidRPr="005C4C9A">
              <w:rPr>
                <w:szCs w:val="20"/>
              </w:rPr>
              <w:t>8.0</w:t>
            </w:r>
          </w:p>
        </w:tc>
        <w:tc>
          <w:tcPr>
            <w:tcW w:w="955" w:type="dxa"/>
            <w:tcBorders>
              <w:top w:val="single" w:sz="4" w:space="0" w:color="auto"/>
              <w:bottom w:val="single" w:sz="4" w:space="0" w:color="auto"/>
            </w:tcBorders>
            <w:shd w:val="clear" w:color="auto" w:fill="auto"/>
            <w:vAlign w:val="center"/>
          </w:tcPr>
          <w:p w14:paraId="2E5F72D1" w14:textId="71E297A3" w:rsidR="005C4C9A" w:rsidRPr="005C4C9A" w:rsidRDefault="005C4C9A" w:rsidP="005C4C9A">
            <w:pPr>
              <w:pStyle w:val="TableBody"/>
            </w:pPr>
            <w:r w:rsidRPr="005C4C9A">
              <w:rPr>
                <w:szCs w:val="20"/>
              </w:rPr>
              <w:t>0.9921</w:t>
            </w:r>
          </w:p>
        </w:tc>
        <w:tc>
          <w:tcPr>
            <w:tcW w:w="1189" w:type="dxa"/>
            <w:tcBorders>
              <w:top w:val="single" w:sz="4" w:space="0" w:color="auto"/>
              <w:bottom w:val="single" w:sz="4" w:space="0" w:color="auto"/>
            </w:tcBorders>
            <w:vAlign w:val="center"/>
          </w:tcPr>
          <w:p w14:paraId="1EC476AC" w14:textId="606FC369" w:rsidR="005C4C9A" w:rsidRPr="005C4C9A" w:rsidRDefault="005C4C9A" w:rsidP="005C4C9A">
            <w:pPr>
              <w:pStyle w:val="TableBody"/>
            </w:pPr>
            <w:r w:rsidRPr="005C4C9A">
              <w:rPr>
                <w:szCs w:val="20"/>
              </w:rPr>
              <w:t>8.3</w:t>
            </w:r>
          </w:p>
        </w:tc>
      </w:tr>
      <w:tr w:rsidR="005C4C9A" w:rsidRPr="00EA067A" w14:paraId="326C9E57" w14:textId="77777777" w:rsidTr="00392567">
        <w:tc>
          <w:tcPr>
            <w:tcW w:w="1080" w:type="dxa"/>
            <w:vMerge/>
            <w:tcBorders>
              <w:top w:val="nil"/>
              <w:bottom w:val="single" w:sz="4" w:space="0" w:color="auto"/>
            </w:tcBorders>
            <w:shd w:val="clear" w:color="auto" w:fill="auto"/>
            <w:vAlign w:val="center"/>
          </w:tcPr>
          <w:p w14:paraId="6DD62F23" w14:textId="77777777" w:rsidR="005C4C9A" w:rsidRPr="005C4C9A" w:rsidRDefault="005C4C9A" w:rsidP="005C4C9A">
            <w:pPr>
              <w:pStyle w:val="TableBody"/>
            </w:pPr>
          </w:p>
        </w:tc>
        <w:tc>
          <w:tcPr>
            <w:tcW w:w="952" w:type="dxa"/>
            <w:tcBorders>
              <w:top w:val="single" w:sz="4" w:space="0" w:color="auto"/>
              <w:bottom w:val="single" w:sz="4" w:space="0" w:color="auto"/>
            </w:tcBorders>
            <w:shd w:val="clear" w:color="auto" w:fill="auto"/>
            <w:vAlign w:val="center"/>
          </w:tcPr>
          <w:p w14:paraId="4CDB446E" w14:textId="6D74CE2B" w:rsidR="005C4C9A" w:rsidRPr="005C4C9A" w:rsidRDefault="005C4C9A" w:rsidP="005C4C9A">
            <w:pPr>
              <w:pStyle w:val="TableBody"/>
            </w:pPr>
            <w:r w:rsidRPr="005C4C9A">
              <w:rPr>
                <w:szCs w:val="20"/>
              </w:rPr>
              <w:t xml:space="preserve">3:1 </w:t>
            </w:r>
            <w:r w:rsidRPr="005C4C9A">
              <w:rPr>
                <w:b/>
                <w:szCs w:val="20"/>
              </w:rPr>
              <w:t>4</w:t>
            </w:r>
            <w:r w:rsidRPr="005C4C9A">
              <w:rPr>
                <w:szCs w:val="20"/>
              </w:rPr>
              <w:t>:DMI</w:t>
            </w:r>
          </w:p>
        </w:tc>
        <w:tc>
          <w:tcPr>
            <w:tcW w:w="699" w:type="dxa"/>
            <w:tcBorders>
              <w:top w:val="single" w:sz="4" w:space="0" w:color="auto"/>
              <w:bottom w:val="single" w:sz="4" w:space="0" w:color="auto"/>
            </w:tcBorders>
            <w:shd w:val="clear" w:color="auto" w:fill="auto"/>
            <w:vAlign w:val="center"/>
          </w:tcPr>
          <w:p w14:paraId="12DD0D66" w14:textId="3516431B" w:rsidR="005C4C9A" w:rsidRPr="005C4C9A" w:rsidRDefault="005C4C9A" w:rsidP="005C4C9A">
            <w:pPr>
              <w:pStyle w:val="TableBody"/>
            </w:pPr>
            <w:r w:rsidRPr="005C4C9A">
              <w:rPr>
                <w:szCs w:val="20"/>
              </w:rPr>
              <w:t>6.2</w:t>
            </w:r>
          </w:p>
        </w:tc>
        <w:tc>
          <w:tcPr>
            <w:tcW w:w="955" w:type="dxa"/>
            <w:tcBorders>
              <w:top w:val="single" w:sz="4" w:space="0" w:color="auto"/>
              <w:bottom w:val="single" w:sz="4" w:space="0" w:color="auto"/>
            </w:tcBorders>
            <w:shd w:val="clear" w:color="auto" w:fill="auto"/>
            <w:vAlign w:val="center"/>
          </w:tcPr>
          <w:p w14:paraId="4557C8F0" w14:textId="32192379" w:rsidR="005C4C9A" w:rsidRPr="005C4C9A" w:rsidRDefault="005C4C9A" w:rsidP="005C4C9A">
            <w:pPr>
              <w:pStyle w:val="TableBody"/>
            </w:pPr>
            <w:r w:rsidRPr="005C4C9A">
              <w:rPr>
                <w:szCs w:val="20"/>
              </w:rPr>
              <w:t>0.9967</w:t>
            </w:r>
          </w:p>
        </w:tc>
        <w:tc>
          <w:tcPr>
            <w:tcW w:w="1189" w:type="dxa"/>
            <w:tcBorders>
              <w:top w:val="single" w:sz="4" w:space="0" w:color="auto"/>
              <w:bottom w:val="single" w:sz="4" w:space="0" w:color="auto"/>
            </w:tcBorders>
            <w:vAlign w:val="center"/>
          </w:tcPr>
          <w:p w14:paraId="53C47295" w14:textId="0972A96F" w:rsidR="005C4C9A" w:rsidRPr="005C4C9A" w:rsidRDefault="005C4C9A" w:rsidP="005C4C9A">
            <w:pPr>
              <w:pStyle w:val="TableBody"/>
            </w:pPr>
            <w:r w:rsidRPr="005C4C9A">
              <w:rPr>
                <w:szCs w:val="20"/>
              </w:rPr>
              <w:t>4.9</w:t>
            </w:r>
          </w:p>
        </w:tc>
      </w:tr>
      <w:tr w:rsidR="005C4C9A" w:rsidRPr="00F54B9B" w14:paraId="02085827" w14:textId="77777777" w:rsidTr="005C4C9A">
        <w:tc>
          <w:tcPr>
            <w:tcW w:w="4875" w:type="dxa"/>
            <w:gridSpan w:val="5"/>
            <w:tcBorders>
              <w:top w:val="single" w:sz="8" w:space="0" w:color="auto"/>
            </w:tcBorders>
          </w:tcPr>
          <w:p w14:paraId="3601E704" w14:textId="266B0F85" w:rsidR="005C4C9A" w:rsidRPr="00324724" w:rsidRDefault="005C4C9A" w:rsidP="00392567">
            <w:pPr>
              <w:pStyle w:val="TableFoot"/>
            </w:pPr>
            <w:r w:rsidRPr="005C4C9A">
              <w:rPr>
                <w:lang w:val="de-DE"/>
              </w:rPr>
              <w:t xml:space="preserve">2.5 mmol DMI or 3:1 </w:t>
            </w:r>
            <w:r w:rsidRPr="005C4C9A">
              <w:rPr>
                <w:b/>
                <w:lang w:val="de-DE"/>
              </w:rPr>
              <w:t>4</w:t>
            </w:r>
            <w:r w:rsidRPr="005C4C9A">
              <w:rPr>
                <w:lang w:val="de-DE"/>
              </w:rPr>
              <w:t>:DMI (acceptor), no catalyst, no solvent, 21 ºC, k</w:t>
            </w:r>
            <w:r w:rsidRPr="005C4C9A">
              <w:rPr>
                <w:vertAlign w:val="subscript"/>
                <w:lang w:val="de-DE"/>
              </w:rPr>
              <w:t>obs</w:t>
            </w:r>
            <w:r w:rsidRPr="005C4C9A">
              <w:rPr>
                <w:lang w:val="de-DE"/>
              </w:rPr>
              <w:t xml:space="preserve"> determined from plot of ln[</w:t>
            </w:r>
            <w:r w:rsidRPr="005C4C9A">
              <w:rPr>
                <w:b/>
                <w:lang w:val="de-DE"/>
              </w:rPr>
              <w:t>4</w:t>
            </w:r>
            <w:r w:rsidRPr="005C4C9A">
              <w:rPr>
                <w:lang w:val="de-DE"/>
              </w:rPr>
              <w:t>] vs term (Figure S8). [a] Rate = -d[</w:t>
            </w:r>
            <w:r w:rsidRPr="005C4C9A">
              <w:rPr>
                <w:b/>
                <w:lang w:val="de-DE"/>
              </w:rPr>
              <w:t>4</w:t>
            </w:r>
            <w:r w:rsidRPr="005C4C9A">
              <w:rPr>
                <w:lang w:val="de-DE"/>
              </w:rPr>
              <w:t>]/dt = kobs[</w:t>
            </w:r>
            <w:r w:rsidRPr="005C4C9A">
              <w:rPr>
                <w:b/>
                <w:lang w:val="de-DE"/>
              </w:rPr>
              <w:t>4</w:t>
            </w:r>
            <w:r w:rsidRPr="005C4C9A">
              <w:rPr>
                <w:lang w:val="de-DE"/>
              </w:rPr>
              <w:t>]t</w:t>
            </w:r>
            <w:r w:rsidRPr="005C4C9A">
              <w:rPr>
                <w:vertAlign w:val="subscript"/>
                <w:lang w:val="de-DE"/>
              </w:rPr>
              <w:t>0</w:t>
            </w:r>
            <w:r w:rsidRPr="005C4C9A">
              <w:rPr>
                <w:lang w:val="de-DE"/>
              </w:rPr>
              <w:t>. t</w:t>
            </w:r>
            <w:r w:rsidRPr="005C4C9A">
              <w:rPr>
                <w:vertAlign w:val="subscript"/>
                <w:lang w:val="de-DE"/>
              </w:rPr>
              <w:t>0</w:t>
            </w:r>
            <w:r w:rsidRPr="005C4C9A">
              <w:rPr>
                <w:lang w:val="de-DE"/>
              </w:rPr>
              <w:t xml:space="preserve"> = 9 h for DMI as acceptor, t</w:t>
            </w:r>
            <w:r w:rsidRPr="005C4C9A">
              <w:rPr>
                <w:vertAlign w:val="subscript"/>
                <w:lang w:val="de-DE"/>
              </w:rPr>
              <w:t>0</w:t>
            </w:r>
            <w:r w:rsidRPr="005C4C9A">
              <w:rPr>
                <w:lang w:val="de-DE"/>
              </w:rPr>
              <w:t xml:space="preserve"> = 0 h for 3:1 </w:t>
            </w:r>
            <w:r w:rsidRPr="005C4C9A">
              <w:rPr>
                <w:b/>
                <w:lang w:val="de-DE"/>
              </w:rPr>
              <w:t>4</w:t>
            </w:r>
            <w:r w:rsidRPr="005C4C9A">
              <w:rPr>
                <w:lang w:val="de-DE"/>
              </w:rPr>
              <w:t>:DMI as acceptor</w:t>
            </w:r>
            <w:r>
              <w:rPr>
                <w:lang w:val="de-DE"/>
              </w:rPr>
              <w:t>.</w:t>
            </w:r>
          </w:p>
        </w:tc>
      </w:tr>
      <w:tr w:rsidR="005C4C9A" w:rsidRPr="00F96419" w14:paraId="1A6B09BB" w14:textId="77777777" w:rsidTr="005C4C9A">
        <w:tc>
          <w:tcPr>
            <w:tcW w:w="4875" w:type="dxa"/>
            <w:gridSpan w:val="5"/>
          </w:tcPr>
          <w:p w14:paraId="152A7F87" w14:textId="568AEACA" w:rsidR="005C4C9A" w:rsidRPr="00F96419" w:rsidRDefault="005C4C9A" w:rsidP="000B09B8">
            <w:pPr>
              <w:pStyle w:val="P1"/>
            </w:pPr>
            <w:r w:rsidRPr="00F96419">
              <w:t xml:space="preserve">For the equilibrated system, plots of %conversion of </w:t>
            </w:r>
            <w:proofErr w:type="spellStart"/>
            <w:r w:rsidRPr="00F96419">
              <w:t>diester</w:t>
            </w:r>
            <w:proofErr w:type="spellEnd"/>
            <w:r w:rsidRPr="00F96419">
              <w:t xml:space="preserve"> versus %selectivity to </w:t>
            </w:r>
            <w:r w:rsidRPr="00F96419">
              <w:rPr>
                <w:b/>
              </w:rPr>
              <w:t>3</w:t>
            </w:r>
            <w:r w:rsidRPr="00F96419">
              <w:t xml:space="preserve"> also showed no effect of DEA</w:t>
            </w:r>
            <w:proofErr w:type="gramStart"/>
            <w:r w:rsidRPr="00F96419">
              <w:t>:DMI</w:t>
            </w:r>
            <w:proofErr w:type="gramEnd"/>
            <w:r w:rsidRPr="00F96419">
              <w:t xml:space="preserve"> ratio, even at conversions below 55% (Figure S1</w:t>
            </w:r>
            <w:r w:rsidR="00B3192C" w:rsidRPr="00F96419">
              <w:t>1</w:t>
            </w:r>
            <w:r w:rsidRPr="00F96419">
              <w:t xml:space="preserve">). However, it should be noted that the %selectivity for this plot is for </w:t>
            </w:r>
            <w:r w:rsidRPr="00F96419">
              <w:rPr>
                <w:b/>
              </w:rPr>
              <w:t>3</w:t>
            </w:r>
            <w:r w:rsidRPr="00F96419">
              <w:t xml:space="preserve"> (adduct) vs </w:t>
            </w:r>
            <w:r w:rsidRPr="00F96419">
              <w:rPr>
                <w:b/>
              </w:rPr>
              <w:t>4</w:t>
            </w:r>
            <w:r w:rsidRPr="00F96419">
              <w:t xml:space="preserve"> (isomer) and therefore </w:t>
            </w:r>
            <w:r w:rsidRPr="00F96419">
              <w:rPr>
                <w:b/>
              </w:rPr>
              <w:t>4</w:t>
            </w:r>
            <w:r w:rsidRPr="00F96419">
              <w:t xml:space="preserve"> is being treated both as a product and a starting material. Nevertheless, superposition of the DMI starting material (exert from Figure 4) on the </w:t>
            </w:r>
            <w:r w:rsidRPr="00F96419">
              <w:rPr>
                <w:b/>
              </w:rPr>
              <w:t>4</w:t>
            </w:r>
            <w:r w:rsidRPr="00F96419">
              <w:t xml:space="preserve">:DMI 3:1 plot, for conversion versus selectivity (Figure 8) shows not only how the 0–55% region has been altered, but also that the trends have identical gradients above this key 55% conversion of DMI. This further supports the theory that the DMI to </w:t>
            </w:r>
            <w:r w:rsidRPr="00F96419">
              <w:rPr>
                <w:b/>
              </w:rPr>
              <w:t>4</w:t>
            </w:r>
            <w:r w:rsidRPr="00F96419">
              <w:t xml:space="preserve"> equilibrium controlled the rate of formation of </w:t>
            </w:r>
            <w:r w:rsidRPr="00F96419">
              <w:rPr>
                <w:b/>
              </w:rPr>
              <w:t xml:space="preserve">3 </w:t>
            </w:r>
            <w:r w:rsidRPr="00F96419">
              <w:t>in stage 2 of the reaction, and was the cause of the plot phenomenon originally observed in Figure 4, where the trends aligned at &gt;55% conversion.</w:t>
            </w:r>
          </w:p>
        </w:tc>
      </w:tr>
    </w:tbl>
    <w:p w14:paraId="40766E41" w14:textId="4FB69966" w:rsidR="000B09B8" w:rsidRPr="00F96419" w:rsidRDefault="000B09B8" w:rsidP="000B09B8">
      <w:pPr>
        <w:pStyle w:val="P1"/>
        <w:rPr>
          <w:sz w:val="14"/>
        </w:rPr>
      </w:pPr>
      <w:r w:rsidRPr="00F96419">
        <w:rPr>
          <w:b/>
          <w:sz w:val="14"/>
        </w:rPr>
        <w:t>Figure 8.</w:t>
      </w:r>
      <w:r w:rsidRPr="00F96419">
        <w:rPr>
          <w:sz w:val="14"/>
        </w:rPr>
        <w:t xml:space="preserve"> Comparison of % selectivity to compound </w:t>
      </w:r>
      <w:r w:rsidRPr="00F96419">
        <w:rPr>
          <w:b/>
          <w:sz w:val="14"/>
        </w:rPr>
        <w:t>3</w:t>
      </w:r>
      <w:r w:rsidRPr="00F96419">
        <w:rPr>
          <w:sz w:val="14"/>
        </w:rPr>
        <w:t xml:space="preserve"> versus % conversion of DMI when starting from either DMI (red) or 3:1 </w:t>
      </w:r>
      <w:r w:rsidRPr="00F96419">
        <w:rPr>
          <w:b/>
          <w:sz w:val="14"/>
        </w:rPr>
        <w:t>4</w:t>
      </w:r>
      <w:proofErr w:type="gramStart"/>
      <w:r w:rsidRPr="00F96419">
        <w:rPr>
          <w:sz w:val="14"/>
        </w:rPr>
        <w:t>:DMMI</w:t>
      </w:r>
      <w:proofErr w:type="gramEnd"/>
      <w:r w:rsidRPr="00F96419">
        <w:rPr>
          <w:sz w:val="14"/>
        </w:rPr>
        <w:t xml:space="preserve"> (blue). 2.5 </w:t>
      </w:r>
      <w:proofErr w:type="spellStart"/>
      <w:r w:rsidRPr="00F96419">
        <w:rPr>
          <w:sz w:val="14"/>
        </w:rPr>
        <w:t>mmol</w:t>
      </w:r>
      <w:proofErr w:type="spellEnd"/>
      <w:r w:rsidRPr="00F96419">
        <w:rPr>
          <w:sz w:val="14"/>
        </w:rPr>
        <w:t xml:space="preserve"> DMI (red) or 3:1 </w:t>
      </w:r>
      <w:r w:rsidRPr="00F96419">
        <w:rPr>
          <w:b/>
          <w:sz w:val="14"/>
        </w:rPr>
        <w:t>4</w:t>
      </w:r>
      <w:proofErr w:type="gramStart"/>
      <w:r w:rsidRPr="00F96419">
        <w:rPr>
          <w:sz w:val="14"/>
        </w:rPr>
        <w:t>:DMI</w:t>
      </w:r>
      <w:proofErr w:type="gramEnd"/>
      <w:r w:rsidRPr="00F96419">
        <w:rPr>
          <w:sz w:val="14"/>
        </w:rPr>
        <w:t xml:space="preserve"> (blue), 20 </w:t>
      </w:r>
      <w:proofErr w:type="spellStart"/>
      <w:r w:rsidRPr="00F96419">
        <w:rPr>
          <w:sz w:val="14"/>
        </w:rPr>
        <w:t>mmol</w:t>
      </w:r>
      <w:proofErr w:type="spellEnd"/>
      <w:r w:rsidRPr="00F96419">
        <w:rPr>
          <w:sz w:val="14"/>
        </w:rPr>
        <w:t xml:space="preserve"> DEA, no catalyst, no solvent, 21 ºC.</w:t>
      </w:r>
    </w:p>
    <w:p w14:paraId="0EE8FB2C" w14:textId="1AF88F85" w:rsidR="000B09B8" w:rsidRPr="00F96419" w:rsidRDefault="000B09B8" w:rsidP="000B09B8">
      <w:pPr>
        <w:pStyle w:val="P1"/>
        <w:rPr>
          <w:sz w:val="14"/>
        </w:rPr>
      </w:pPr>
    </w:p>
    <w:p w14:paraId="6CA9B33C" w14:textId="77777777" w:rsidR="000B09B8" w:rsidRPr="00F96419" w:rsidRDefault="000B09B8" w:rsidP="000B09B8">
      <w:pPr>
        <w:pStyle w:val="P1"/>
        <w:rPr>
          <w:b/>
        </w:rPr>
      </w:pPr>
      <w:bookmarkStart w:id="3" w:name="_Ref213847227"/>
      <w:r w:rsidRPr="00F96419">
        <w:rPr>
          <w:b/>
        </w:rPr>
        <w:t>Aza-Michael Addition to Dimethyl Fumarate</w:t>
      </w:r>
      <w:bookmarkEnd w:id="3"/>
    </w:p>
    <w:p w14:paraId="4CA6A533" w14:textId="585BF938" w:rsidR="000B09B8" w:rsidRPr="00F96419" w:rsidRDefault="00EF67B7" w:rsidP="000B09B8">
      <w:pPr>
        <w:pStyle w:val="P1"/>
      </w:pPr>
      <w:r>
        <w:rPr>
          <w:noProof/>
          <w:sz w:val="20"/>
          <w:szCs w:val="20"/>
        </w:rPr>
        <w:object w:dxaOrig="1440" w:dyaOrig="1440" w14:anchorId="31BAE471">
          <v:shape id="_x0000_s1077" type="#_x0000_t75" style="position:absolute;left:0;text-align:left;margin-left:257.95pt;margin-top:284.8pt;width:243.6pt;height:55.8pt;z-index:251680256;mso-position-horizontal-relative:margin;mso-position-vertical-relative:margin">
            <v:imagedata r:id="rId31" o:title=""/>
            <w10:wrap type="square" anchorx="margin" anchory="margin"/>
          </v:shape>
          <o:OLEObject Type="Embed" ProgID="ChemDraw.Document.6.0" ShapeID="_x0000_s1077" DrawAspect="Content" ObjectID="_1589103331" r:id="rId32"/>
        </w:object>
      </w:r>
      <w:r w:rsidR="000B09B8" w:rsidRPr="00F96419">
        <w:t xml:space="preserve">We remained intrigued as to why the regio-selectivity for the above addition remained so high with </w:t>
      </w:r>
      <w:proofErr w:type="spellStart"/>
      <w:r w:rsidR="000B09B8" w:rsidRPr="00F96419">
        <w:t>regioisomer</w:t>
      </w:r>
      <w:proofErr w:type="spellEnd"/>
      <w:r w:rsidR="000B09B8" w:rsidRPr="00F96419">
        <w:t xml:space="preserve"> </w:t>
      </w:r>
      <w:r w:rsidR="000B09B8" w:rsidRPr="00F96419">
        <w:rPr>
          <w:b/>
        </w:rPr>
        <w:t>4</w:t>
      </w:r>
      <w:r w:rsidR="000B09B8" w:rsidRPr="00F96419">
        <w:t xml:space="preserve"> seemingly never undergoing </w:t>
      </w:r>
      <w:proofErr w:type="spellStart"/>
      <w:r w:rsidR="000B09B8" w:rsidRPr="00F96419">
        <w:t>aza</w:t>
      </w:r>
      <w:proofErr w:type="spellEnd"/>
      <w:r w:rsidR="000B09B8" w:rsidRPr="00F96419">
        <w:t>-Michael addition to a detectable level despite using it as a starting material. We therefore extended the study to dimethyl fumarate (</w:t>
      </w:r>
      <w:r w:rsidR="000B09B8" w:rsidRPr="00F96419">
        <w:rPr>
          <w:b/>
        </w:rPr>
        <w:t>8</w:t>
      </w:r>
      <w:r w:rsidR="000B09B8" w:rsidRPr="00F96419">
        <w:t xml:space="preserve">, scheme 5), to ascertain if its addition would prove to be as slow as for </w:t>
      </w:r>
      <w:proofErr w:type="spellStart"/>
      <w:r w:rsidR="000B09B8" w:rsidRPr="00F96419">
        <w:t>mesaconate</w:t>
      </w:r>
      <w:proofErr w:type="spellEnd"/>
      <w:r w:rsidR="000B09B8" w:rsidRPr="00F96419">
        <w:t xml:space="preserve"> </w:t>
      </w:r>
      <w:r w:rsidR="000B09B8" w:rsidRPr="00F96419">
        <w:rPr>
          <w:b/>
        </w:rPr>
        <w:t>4</w:t>
      </w:r>
      <w:r w:rsidR="000B09B8" w:rsidRPr="00F96419">
        <w:t>.</w:t>
      </w:r>
    </w:p>
    <w:p w14:paraId="051AAE77" w14:textId="157F869D" w:rsidR="00C9071F" w:rsidRPr="00F96419" w:rsidRDefault="000B09B8" w:rsidP="000B09B8">
      <w:pPr>
        <w:pStyle w:val="P1"/>
        <w:rPr>
          <w:sz w:val="10"/>
          <w:lang w:val="en-GB"/>
        </w:rPr>
      </w:pPr>
      <w:r w:rsidRPr="00F96419">
        <w:rPr>
          <w:b/>
          <w:sz w:val="14"/>
        </w:rPr>
        <w:t>Scheme 5</w:t>
      </w:r>
      <w:r w:rsidR="00C9071F" w:rsidRPr="00F96419">
        <w:rPr>
          <w:b/>
          <w:sz w:val="14"/>
        </w:rPr>
        <w:t>.</w:t>
      </w:r>
      <w:r w:rsidR="00C9071F" w:rsidRPr="00F96419">
        <w:rPr>
          <w:sz w:val="14"/>
        </w:rPr>
        <w:t xml:space="preserve"> </w:t>
      </w:r>
      <w:r w:rsidRPr="00F96419">
        <w:rPr>
          <w:sz w:val="14"/>
        </w:rPr>
        <w:t>Aza-Michael addition of DEA (</w:t>
      </w:r>
      <w:r w:rsidRPr="00F96419">
        <w:rPr>
          <w:b/>
          <w:sz w:val="14"/>
        </w:rPr>
        <w:t>2</w:t>
      </w:r>
      <w:r w:rsidRPr="00F96419">
        <w:rPr>
          <w:sz w:val="14"/>
        </w:rPr>
        <w:t>) to dimethyl fumarate (</w:t>
      </w:r>
      <w:r w:rsidRPr="00F96419">
        <w:rPr>
          <w:b/>
          <w:sz w:val="14"/>
        </w:rPr>
        <w:t>8</w:t>
      </w:r>
      <w:r w:rsidRPr="00F96419">
        <w:rPr>
          <w:sz w:val="14"/>
        </w:rPr>
        <w:t xml:space="preserve">) to form adduct </w:t>
      </w:r>
      <w:r w:rsidRPr="00F96419">
        <w:rPr>
          <w:b/>
          <w:sz w:val="14"/>
        </w:rPr>
        <w:t>9</w:t>
      </w:r>
      <w:r w:rsidR="00C9071F" w:rsidRPr="00F96419">
        <w:rPr>
          <w:sz w:val="14"/>
        </w:rPr>
        <w:t>.</w:t>
      </w:r>
    </w:p>
    <w:p w14:paraId="2DA06316" w14:textId="77777777" w:rsidR="000B09B8" w:rsidRPr="00F96419" w:rsidRDefault="000B09B8" w:rsidP="000B09B8">
      <w:pPr>
        <w:pStyle w:val="P1"/>
      </w:pPr>
    </w:p>
    <w:p w14:paraId="4167FDA9" w14:textId="2A5E2079" w:rsidR="000B09B8" w:rsidRPr="000B09B8" w:rsidRDefault="000B09B8" w:rsidP="000B09B8">
      <w:pPr>
        <w:pStyle w:val="P1"/>
      </w:pPr>
      <w:r w:rsidRPr="00F96419">
        <w:t xml:space="preserve">When initially applying the same methodology as above, we found </w:t>
      </w:r>
      <w:r w:rsidRPr="00F96419">
        <w:rPr>
          <w:b/>
        </w:rPr>
        <w:t>8</w:t>
      </w:r>
      <w:r w:rsidRPr="00F96419">
        <w:t xml:space="preserve"> to be considerably less soluble in DEA compared to DMI or the 3:1 </w:t>
      </w:r>
      <w:r w:rsidRPr="00F96419">
        <w:rPr>
          <w:b/>
        </w:rPr>
        <w:t>4</w:t>
      </w:r>
      <w:proofErr w:type="gramStart"/>
      <w:r w:rsidRPr="00F96419">
        <w:t>:DMI</w:t>
      </w:r>
      <w:proofErr w:type="gramEnd"/>
      <w:r w:rsidRPr="00F96419">
        <w:t xml:space="preserve"> mixture. As a result, all reactions with </w:t>
      </w:r>
      <w:r w:rsidRPr="00F96419">
        <w:rPr>
          <w:b/>
        </w:rPr>
        <w:t>8</w:t>
      </w:r>
      <w:r w:rsidRPr="00F96419">
        <w:t xml:space="preserve"> typically contained solid material for the initial 24 hours. Yields of adduct </w:t>
      </w:r>
      <w:r w:rsidRPr="00F96419">
        <w:rPr>
          <w:b/>
        </w:rPr>
        <w:t>9</w:t>
      </w:r>
      <w:r w:rsidRPr="00F96419">
        <w:t xml:space="preserve"> improved when grinding </w:t>
      </w:r>
      <w:r w:rsidRPr="00F96419">
        <w:rPr>
          <w:b/>
        </w:rPr>
        <w:t>8</w:t>
      </w:r>
      <w:r w:rsidRPr="00F96419">
        <w:t xml:space="preserve"> beforehand, due to the heterogeneous nature of the reaction. The product, </w:t>
      </w:r>
      <w:r w:rsidRPr="00F96419">
        <w:rPr>
          <w:b/>
        </w:rPr>
        <w:t>9</w:t>
      </w:r>
      <w:r w:rsidRPr="00F96419">
        <w:t xml:space="preserve">, was soluble in DEA and therefore as the reaction progresses the yields improved significantly, possibly as the presence of </w:t>
      </w:r>
      <w:r w:rsidRPr="00F96419">
        <w:rPr>
          <w:b/>
        </w:rPr>
        <w:t>9</w:t>
      </w:r>
      <w:r w:rsidRPr="00F96419">
        <w:t xml:space="preserve"> aided dissolution of </w:t>
      </w:r>
      <w:r w:rsidRPr="00F96419">
        <w:rPr>
          <w:b/>
        </w:rPr>
        <w:t>8</w:t>
      </w:r>
      <w:r w:rsidRPr="00F96419">
        <w:t xml:space="preserve"> in the solvent-less system. This initial solubility issue means that assessment of kinetics was unreliable, and therefore only % yield (GC-FID) of </w:t>
      </w:r>
      <w:proofErr w:type="spellStart"/>
      <w:r w:rsidRPr="00F96419">
        <w:t>aza</w:t>
      </w:r>
      <w:proofErr w:type="spellEnd"/>
      <w:r w:rsidRPr="00F96419">
        <w:t xml:space="preserve">-Michael adduct could </w:t>
      </w:r>
      <w:r w:rsidRPr="00F96419">
        <w:rPr>
          <w:b/>
        </w:rPr>
        <w:t>9</w:t>
      </w:r>
      <w:r w:rsidRPr="00F96419">
        <w:t xml:space="preserve"> be used as a comparison (Table 3). Analogous to the DMI+DEA system, on increasing the amount of DEA the yield of adduct increased (Figure S1</w:t>
      </w:r>
      <w:r w:rsidR="00B3192C" w:rsidRPr="00F96419">
        <w:t>2</w:t>
      </w:r>
      <w:r w:rsidRPr="00F96419">
        <w:t xml:space="preserve">), especially between 2:1 and 4:1, assumed to be a result of the aforementioned poor solubility of </w:t>
      </w:r>
      <w:r w:rsidRPr="00F96419">
        <w:rPr>
          <w:b/>
        </w:rPr>
        <w:t>8</w:t>
      </w:r>
      <w:r w:rsidRPr="00F96419">
        <w:t xml:space="preserve"> being more pronounced</w:t>
      </w:r>
      <w:r w:rsidRPr="000B09B8">
        <w:t xml:space="preserve"> at 2:1. From 24 hours onwards for the 4:1 ratio and above, the fumarate system gave noticeably higher yields of the </w:t>
      </w:r>
      <w:proofErr w:type="spellStart"/>
      <w:r w:rsidRPr="000B09B8">
        <w:t>aza</w:t>
      </w:r>
      <w:proofErr w:type="spellEnd"/>
      <w:r w:rsidRPr="000B09B8">
        <w:t xml:space="preserve">-Michael adduct. Of significant importance is the comparison of the fumarate and the 3:1 </w:t>
      </w:r>
      <w:r w:rsidRPr="000B09B8">
        <w:rPr>
          <w:b/>
        </w:rPr>
        <w:t>4</w:t>
      </w:r>
      <w:proofErr w:type="gramStart"/>
      <w:r w:rsidRPr="000B09B8">
        <w:t>:DMI</w:t>
      </w:r>
      <w:proofErr w:type="gramEnd"/>
      <w:r w:rsidRPr="000B09B8">
        <w:t xml:space="preserve"> system, where yet again the drastic reduction in yield of adduct is clearly evident for the latter. This further supports the conclusion that the </w:t>
      </w:r>
      <w:proofErr w:type="spellStart"/>
      <w:r w:rsidRPr="000B09B8">
        <w:t>regioisomerisation</w:t>
      </w:r>
      <w:proofErr w:type="spellEnd"/>
      <w:r w:rsidRPr="000B09B8">
        <w:t xml:space="preserve"> associated with </w:t>
      </w:r>
      <w:proofErr w:type="spellStart"/>
      <w:r w:rsidRPr="000B09B8">
        <w:t>mesaconate</w:t>
      </w:r>
      <w:proofErr w:type="spellEnd"/>
      <w:r w:rsidRPr="000B09B8">
        <w:t xml:space="preserve"> </w:t>
      </w:r>
      <w:r w:rsidRPr="000B09B8">
        <w:rPr>
          <w:b/>
        </w:rPr>
        <w:t xml:space="preserve">4 </w:t>
      </w:r>
      <w:r w:rsidRPr="000B09B8">
        <w:t xml:space="preserve">is responsible for detrimental slow rates of addition in the </w:t>
      </w:r>
      <w:proofErr w:type="spellStart"/>
      <w:r w:rsidRPr="000B09B8">
        <w:t>itaconate</w:t>
      </w:r>
      <w:proofErr w:type="spellEnd"/>
      <w:r w:rsidRPr="000B09B8">
        <w:t xml:space="preserve"> system. </w:t>
      </w:r>
    </w:p>
    <w:tbl>
      <w:tblPr>
        <w:tblW w:w="0" w:type="auto"/>
        <w:tblLook w:val="01E0" w:firstRow="1" w:lastRow="1" w:firstColumn="1" w:lastColumn="1" w:noHBand="0" w:noVBand="0"/>
      </w:tblPr>
      <w:tblGrid>
        <w:gridCol w:w="1080"/>
        <w:gridCol w:w="959"/>
        <w:gridCol w:w="863"/>
        <w:gridCol w:w="830"/>
        <w:gridCol w:w="1143"/>
      </w:tblGrid>
      <w:tr w:rsidR="00392567" w14:paraId="1B233490" w14:textId="77777777" w:rsidTr="00392567">
        <w:tc>
          <w:tcPr>
            <w:tcW w:w="4875" w:type="dxa"/>
            <w:gridSpan w:val="5"/>
            <w:tcBorders>
              <w:bottom w:val="single" w:sz="8" w:space="0" w:color="auto"/>
            </w:tcBorders>
            <w:shd w:val="clear" w:color="auto" w:fill="auto"/>
          </w:tcPr>
          <w:p w14:paraId="7D4A015C" w14:textId="5F905387" w:rsidR="00392567" w:rsidRDefault="00392567" w:rsidP="00392567">
            <w:pPr>
              <w:pStyle w:val="TableCaption"/>
            </w:pPr>
            <w:r>
              <w:rPr>
                <w:b/>
              </w:rPr>
              <w:lastRenderedPageBreak/>
              <w:t>Table 3</w:t>
            </w:r>
            <w:r w:rsidRPr="00B11686">
              <w:rPr>
                <w:b/>
              </w:rPr>
              <w:t>.</w:t>
            </w:r>
            <w:r>
              <w:t xml:space="preserve"> </w:t>
            </w:r>
            <w:r w:rsidRPr="00392567">
              <w:rPr>
                <w:lang w:val="de-DE"/>
              </w:rPr>
              <w:t xml:space="preserve">Comparison of %yield of aza-Michael adduct of DEA to three different acceptor systems (DMI, 3:1 </w:t>
            </w:r>
            <w:r w:rsidRPr="00392567">
              <w:rPr>
                <w:b/>
                <w:lang w:val="de-DE"/>
              </w:rPr>
              <w:t>4</w:t>
            </w:r>
            <w:r w:rsidRPr="00392567">
              <w:rPr>
                <w:lang w:val="de-DE"/>
              </w:rPr>
              <w:t xml:space="preserve">:DMI or </w:t>
            </w:r>
            <w:r w:rsidRPr="00392567">
              <w:rPr>
                <w:b/>
                <w:lang w:val="de-DE"/>
              </w:rPr>
              <w:t>8</w:t>
            </w:r>
            <w:r w:rsidRPr="00392567">
              <w:rPr>
                <w:lang w:val="de-DE"/>
              </w:rPr>
              <w:t>) and differing DEA:acceptor ratios</w:t>
            </w:r>
          </w:p>
        </w:tc>
      </w:tr>
      <w:tr w:rsidR="00392567" w:rsidRPr="00D74814" w14:paraId="28436D40" w14:textId="77777777" w:rsidTr="00392567">
        <w:tc>
          <w:tcPr>
            <w:tcW w:w="1080" w:type="dxa"/>
            <w:vMerge w:val="restart"/>
            <w:tcBorders>
              <w:top w:val="single" w:sz="12" w:space="0" w:color="auto"/>
            </w:tcBorders>
            <w:shd w:val="clear" w:color="auto" w:fill="auto"/>
            <w:vAlign w:val="center"/>
          </w:tcPr>
          <w:p w14:paraId="30A441D2" w14:textId="235847BC" w:rsidR="00392567" w:rsidRPr="00D74814" w:rsidRDefault="00392567" w:rsidP="00392567">
            <w:pPr>
              <w:pStyle w:val="TableHead"/>
              <w:jc w:val="center"/>
            </w:pPr>
            <w:proofErr w:type="spellStart"/>
            <w:r>
              <w:rPr>
                <w:szCs w:val="20"/>
              </w:rPr>
              <w:t>DEA:acceptor</w:t>
            </w:r>
            <w:proofErr w:type="spellEnd"/>
            <w:r w:rsidRPr="00D74814">
              <w:rPr>
                <w:szCs w:val="20"/>
              </w:rPr>
              <w:t xml:space="preserve"> Ratio</w:t>
            </w:r>
          </w:p>
        </w:tc>
        <w:tc>
          <w:tcPr>
            <w:tcW w:w="959" w:type="dxa"/>
            <w:vMerge w:val="restart"/>
            <w:tcBorders>
              <w:top w:val="single" w:sz="12" w:space="0" w:color="auto"/>
            </w:tcBorders>
            <w:shd w:val="clear" w:color="auto" w:fill="auto"/>
            <w:vAlign w:val="center"/>
          </w:tcPr>
          <w:p w14:paraId="287DD009" w14:textId="6B601512" w:rsidR="00392567" w:rsidRPr="00D74814" w:rsidRDefault="00392567" w:rsidP="00392567">
            <w:pPr>
              <w:pStyle w:val="TableHead"/>
              <w:jc w:val="left"/>
            </w:pPr>
            <w:r>
              <w:rPr>
                <w:szCs w:val="20"/>
              </w:rPr>
              <w:t>Acceptor</w:t>
            </w:r>
          </w:p>
        </w:tc>
        <w:tc>
          <w:tcPr>
            <w:tcW w:w="2836" w:type="dxa"/>
            <w:gridSpan w:val="3"/>
            <w:tcBorders>
              <w:top w:val="single" w:sz="12" w:space="0" w:color="auto"/>
              <w:bottom w:val="single" w:sz="8" w:space="0" w:color="auto"/>
            </w:tcBorders>
            <w:shd w:val="clear" w:color="auto" w:fill="auto"/>
            <w:vAlign w:val="center"/>
          </w:tcPr>
          <w:p w14:paraId="4EF1AB3F" w14:textId="65C0184E" w:rsidR="00392567" w:rsidRPr="00D74814" w:rsidRDefault="00392567" w:rsidP="00392567">
            <w:pPr>
              <w:pStyle w:val="TableHead"/>
              <w:jc w:val="center"/>
            </w:pPr>
            <w:r w:rsidRPr="00392567">
              <w:rPr>
                <w:szCs w:val="20"/>
                <w:lang w:val="de-DE"/>
              </w:rPr>
              <w:t>%yield of aza-Michael adduct</w:t>
            </w:r>
            <w:r w:rsidRPr="00392567">
              <w:rPr>
                <w:szCs w:val="20"/>
                <w:vertAlign w:val="superscript"/>
                <w:lang w:val="de-DE"/>
              </w:rPr>
              <w:t>[a</w:t>
            </w:r>
            <w:r>
              <w:rPr>
                <w:szCs w:val="20"/>
                <w:vertAlign w:val="superscript"/>
                <w:lang w:val="de-DE"/>
              </w:rPr>
              <w:t>]</w:t>
            </w:r>
          </w:p>
        </w:tc>
      </w:tr>
      <w:tr w:rsidR="00392567" w:rsidRPr="00D74814" w14:paraId="305E3A86" w14:textId="77777777" w:rsidTr="00392567">
        <w:tc>
          <w:tcPr>
            <w:tcW w:w="1080" w:type="dxa"/>
            <w:vMerge/>
            <w:shd w:val="clear" w:color="auto" w:fill="auto"/>
            <w:vAlign w:val="center"/>
          </w:tcPr>
          <w:p w14:paraId="021365A1" w14:textId="77777777" w:rsidR="00392567" w:rsidRPr="00392567" w:rsidRDefault="00392567" w:rsidP="00392567">
            <w:pPr>
              <w:pStyle w:val="TableBody"/>
              <w:jc w:val="center"/>
              <w:rPr>
                <w:rFonts w:cs="Arial"/>
              </w:rPr>
            </w:pPr>
          </w:p>
        </w:tc>
        <w:tc>
          <w:tcPr>
            <w:tcW w:w="959" w:type="dxa"/>
            <w:vMerge/>
            <w:tcBorders>
              <w:bottom w:val="single" w:sz="4" w:space="0" w:color="auto"/>
            </w:tcBorders>
            <w:shd w:val="clear" w:color="auto" w:fill="auto"/>
            <w:vAlign w:val="center"/>
          </w:tcPr>
          <w:p w14:paraId="3D2E9320" w14:textId="77777777" w:rsidR="00392567" w:rsidRPr="00392567" w:rsidRDefault="00392567" w:rsidP="00392567">
            <w:pPr>
              <w:pStyle w:val="TableBody"/>
              <w:jc w:val="left"/>
              <w:rPr>
                <w:rFonts w:cs="Arial"/>
              </w:rPr>
            </w:pPr>
          </w:p>
        </w:tc>
        <w:tc>
          <w:tcPr>
            <w:tcW w:w="863" w:type="dxa"/>
            <w:tcBorders>
              <w:top w:val="nil"/>
              <w:bottom w:val="single" w:sz="4" w:space="0" w:color="auto"/>
            </w:tcBorders>
            <w:shd w:val="clear" w:color="auto" w:fill="auto"/>
            <w:vAlign w:val="center"/>
          </w:tcPr>
          <w:p w14:paraId="3ECF10F6" w14:textId="0DF3EA84" w:rsidR="00392567" w:rsidRPr="00392567" w:rsidRDefault="00392567" w:rsidP="00392567">
            <w:pPr>
              <w:pStyle w:val="TableBody"/>
              <w:jc w:val="left"/>
              <w:rPr>
                <w:rFonts w:cs="Arial"/>
              </w:rPr>
            </w:pPr>
            <w:r>
              <w:rPr>
                <w:rFonts w:cs="Arial"/>
              </w:rPr>
              <w:t>2 hours</w:t>
            </w:r>
          </w:p>
        </w:tc>
        <w:tc>
          <w:tcPr>
            <w:tcW w:w="830" w:type="dxa"/>
            <w:tcBorders>
              <w:top w:val="nil"/>
              <w:bottom w:val="single" w:sz="4" w:space="0" w:color="auto"/>
            </w:tcBorders>
            <w:shd w:val="clear" w:color="auto" w:fill="auto"/>
            <w:vAlign w:val="center"/>
          </w:tcPr>
          <w:p w14:paraId="28CA9226" w14:textId="10463BF1" w:rsidR="00392567" w:rsidRPr="00392567" w:rsidRDefault="00392567" w:rsidP="00392567">
            <w:pPr>
              <w:pStyle w:val="TableBody"/>
              <w:jc w:val="left"/>
              <w:rPr>
                <w:rFonts w:cs="Arial"/>
              </w:rPr>
            </w:pPr>
            <w:r>
              <w:rPr>
                <w:rFonts w:cs="Arial"/>
              </w:rPr>
              <w:t>24 hours</w:t>
            </w:r>
          </w:p>
        </w:tc>
        <w:tc>
          <w:tcPr>
            <w:tcW w:w="1143" w:type="dxa"/>
            <w:tcBorders>
              <w:top w:val="nil"/>
              <w:bottom w:val="single" w:sz="4" w:space="0" w:color="auto"/>
            </w:tcBorders>
            <w:vAlign w:val="center"/>
          </w:tcPr>
          <w:p w14:paraId="7E557B0A" w14:textId="2695CA40" w:rsidR="00392567" w:rsidRPr="00392567" w:rsidRDefault="00392567" w:rsidP="00392567">
            <w:pPr>
              <w:pStyle w:val="TableBody"/>
              <w:jc w:val="left"/>
              <w:rPr>
                <w:rFonts w:cs="Arial"/>
              </w:rPr>
            </w:pPr>
            <w:r>
              <w:rPr>
                <w:rFonts w:cs="Arial"/>
              </w:rPr>
              <w:t>48 hours</w:t>
            </w:r>
          </w:p>
        </w:tc>
      </w:tr>
      <w:tr w:rsidR="00392567" w:rsidRPr="00D74814" w14:paraId="0D072C90" w14:textId="77777777" w:rsidTr="00392567">
        <w:tc>
          <w:tcPr>
            <w:tcW w:w="1080" w:type="dxa"/>
            <w:vMerge w:val="restart"/>
            <w:tcBorders>
              <w:top w:val="single" w:sz="4" w:space="0" w:color="auto"/>
            </w:tcBorders>
            <w:shd w:val="clear" w:color="auto" w:fill="auto"/>
            <w:vAlign w:val="center"/>
          </w:tcPr>
          <w:p w14:paraId="3DC2F02A" w14:textId="14E72F84" w:rsidR="00392567" w:rsidRPr="00392567" w:rsidRDefault="00392567" w:rsidP="00392567">
            <w:pPr>
              <w:pStyle w:val="TableBody"/>
              <w:jc w:val="center"/>
              <w:rPr>
                <w:rFonts w:cs="Arial"/>
              </w:rPr>
            </w:pPr>
            <w:r w:rsidRPr="00392567">
              <w:rPr>
                <w:rFonts w:cs="Arial"/>
              </w:rPr>
              <w:t>2:1</w:t>
            </w:r>
          </w:p>
        </w:tc>
        <w:tc>
          <w:tcPr>
            <w:tcW w:w="959" w:type="dxa"/>
            <w:tcBorders>
              <w:top w:val="single" w:sz="4" w:space="0" w:color="auto"/>
              <w:bottom w:val="single" w:sz="4" w:space="0" w:color="auto"/>
            </w:tcBorders>
            <w:shd w:val="clear" w:color="auto" w:fill="auto"/>
            <w:vAlign w:val="center"/>
          </w:tcPr>
          <w:p w14:paraId="7A8452C5" w14:textId="70576426" w:rsidR="00392567" w:rsidRPr="00392567" w:rsidRDefault="00392567" w:rsidP="00392567">
            <w:pPr>
              <w:pStyle w:val="TableBody"/>
              <w:jc w:val="left"/>
              <w:rPr>
                <w:rFonts w:cs="Arial"/>
              </w:rPr>
            </w:pPr>
            <w:r w:rsidRPr="00392567">
              <w:rPr>
                <w:rFonts w:cs="Arial"/>
              </w:rPr>
              <w:t>DMI</w:t>
            </w:r>
          </w:p>
        </w:tc>
        <w:tc>
          <w:tcPr>
            <w:tcW w:w="863" w:type="dxa"/>
            <w:tcBorders>
              <w:top w:val="nil"/>
              <w:bottom w:val="single" w:sz="4" w:space="0" w:color="auto"/>
            </w:tcBorders>
            <w:shd w:val="clear" w:color="auto" w:fill="auto"/>
            <w:vAlign w:val="center"/>
          </w:tcPr>
          <w:p w14:paraId="416855C3" w14:textId="095CB304" w:rsidR="00392567" w:rsidRPr="00392567" w:rsidRDefault="00392567" w:rsidP="00392567">
            <w:pPr>
              <w:pStyle w:val="TableBody"/>
              <w:jc w:val="left"/>
              <w:rPr>
                <w:rFonts w:cs="Arial"/>
              </w:rPr>
            </w:pPr>
            <w:r w:rsidRPr="00392567">
              <w:rPr>
                <w:rFonts w:cs="Arial"/>
              </w:rPr>
              <w:t>13</w:t>
            </w:r>
          </w:p>
        </w:tc>
        <w:tc>
          <w:tcPr>
            <w:tcW w:w="830" w:type="dxa"/>
            <w:tcBorders>
              <w:top w:val="nil"/>
              <w:bottom w:val="single" w:sz="4" w:space="0" w:color="auto"/>
            </w:tcBorders>
            <w:shd w:val="clear" w:color="auto" w:fill="auto"/>
            <w:vAlign w:val="center"/>
          </w:tcPr>
          <w:p w14:paraId="5AAEFFF7" w14:textId="4047F71B" w:rsidR="00392567" w:rsidRPr="00392567" w:rsidRDefault="00392567" w:rsidP="00392567">
            <w:pPr>
              <w:pStyle w:val="TableBody"/>
              <w:jc w:val="left"/>
              <w:rPr>
                <w:rFonts w:cs="Arial"/>
              </w:rPr>
            </w:pPr>
            <w:r w:rsidRPr="00392567">
              <w:rPr>
                <w:rFonts w:cs="Arial"/>
              </w:rPr>
              <w:t>42</w:t>
            </w:r>
          </w:p>
        </w:tc>
        <w:tc>
          <w:tcPr>
            <w:tcW w:w="1143" w:type="dxa"/>
            <w:tcBorders>
              <w:top w:val="nil"/>
              <w:bottom w:val="single" w:sz="4" w:space="0" w:color="auto"/>
            </w:tcBorders>
            <w:vAlign w:val="center"/>
          </w:tcPr>
          <w:p w14:paraId="069E96AD" w14:textId="551FF21B" w:rsidR="00392567" w:rsidRPr="00392567" w:rsidRDefault="00392567" w:rsidP="00392567">
            <w:pPr>
              <w:pStyle w:val="TableBody"/>
              <w:jc w:val="left"/>
              <w:rPr>
                <w:rFonts w:cs="Arial"/>
              </w:rPr>
            </w:pPr>
            <w:r w:rsidRPr="00392567">
              <w:rPr>
                <w:rFonts w:cs="Arial"/>
              </w:rPr>
              <w:t>57</w:t>
            </w:r>
          </w:p>
        </w:tc>
      </w:tr>
      <w:tr w:rsidR="00392567" w:rsidRPr="00D74814" w14:paraId="78B0EB91" w14:textId="77777777" w:rsidTr="00392567">
        <w:tc>
          <w:tcPr>
            <w:tcW w:w="1080" w:type="dxa"/>
            <w:vMerge/>
            <w:shd w:val="clear" w:color="auto" w:fill="auto"/>
            <w:vAlign w:val="center"/>
          </w:tcPr>
          <w:p w14:paraId="67454F40" w14:textId="77777777" w:rsidR="00392567" w:rsidRPr="00392567" w:rsidRDefault="00392567" w:rsidP="00392567">
            <w:pPr>
              <w:pStyle w:val="TableBody"/>
              <w:rPr>
                <w:rFonts w:cs="Arial"/>
              </w:rPr>
            </w:pPr>
          </w:p>
        </w:tc>
        <w:tc>
          <w:tcPr>
            <w:tcW w:w="959" w:type="dxa"/>
            <w:tcBorders>
              <w:top w:val="single" w:sz="4" w:space="0" w:color="auto"/>
              <w:bottom w:val="single" w:sz="4" w:space="0" w:color="auto"/>
            </w:tcBorders>
            <w:shd w:val="clear" w:color="auto" w:fill="auto"/>
            <w:vAlign w:val="center"/>
          </w:tcPr>
          <w:p w14:paraId="68FE3A44" w14:textId="6C92BEA3" w:rsidR="00392567" w:rsidRPr="00392567" w:rsidRDefault="00392567" w:rsidP="00392567">
            <w:pPr>
              <w:pStyle w:val="TableBody"/>
              <w:jc w:val="left"/>
              <w:rPr>
                <w:rFonts w:cs="Arial"/>
              </w:rPr>
            </w:pPr>
            <w:r w:rsidRPr="00392567">
              <w:rPr>
                <w:rFonts w:cs="Arial"/>
              </w:rPr>
              <w:t xml:space="preserve">3:1 </w:t>
            </w:r>
            <w:r w:rsidRPr="00392567">
              <w:rPr>
                <w:rFonts w:cs="Arial"/>
                <w:b/>
              </w:rPr>
              <w:t>4</w:t>
            </w:r>
            <w:r w:rsidRPr="00392567">
              <w:rPr>
                <w:rFonts w:cs="Arial"/>
              </w:rPr>
              <w:t>:DMI</w:t>
            </w:r>
          </w:p>
        </w:tc>
        <w:tc>
          <w:tcPr>
            <w:tcW w:w="863" w:type="dxa"/>
            <w:tcBorders>
              <w:top w:val="single" w:sz="4" w:space="0" w:color="auto"/>
              <w:bottom w:val="single" w:sz="4" w:space="0" w:color="auto"/>
            </w:tcBorders>
            <w:shd w:val="clear" w:color="auto" w:fill="auto"/>
            <w:vAlign w:val="center"/>
          </w:tcPr>
          <w:p w14:paraId="7C0E31BE" w14:textId="5BCB53ED" w:rsidR="00392567" w:rsidRPr="00392567" w:rsidRDefault="00392567" w:rsidP="00392567">
            <w:pPr>
              <w:pStyle w:val="TableBody"/>
              <w:jc w:val="left"/>
              <w:rPr>
                <w:rFonts w:cs="Arial"/>
              </w:rPr>
            </w:pPr>
            <w:r w:rsidRPr="00392567">
              <w:rPr>
                <w:rFonts w:cs="Arial"/>
              </w:rPr>
              <w:t>4</w:t>
            </w:r>
          </w:p>
        </w:tc>
        <w:tc>
          <w:tcPr>
            <w:tcW w:w="830" w:type="dxa"/>
            <w:tcBorders>
              <w:top w:val="single" w:sz="4" w:space="0" w:color="auto"/>
              <w:bottom w:val="single" w:sz="4" w:space="0" w:color="auto"/>
            </w:tcBorders>
            <w:shd w:val="clear" w:color="auto" w:fill="auto"/>
            <w:vAlign w:val="center"/>
          </w:tcPr>
          <w:p w14:paraId="47974D92" w14:textId="4858BBE2" w:rsidR="00392567" w:rsidRPr="00392567" w:rsidRDefault="00392567" w:rsidP="00392567">
            <w:pPr>
              <w:pStyle w:val="TableBody"/>
              <w:jc w:val="left"/>
              <w:rPr>
                <w:rFonts w:cs="Arial"/>
              </w:rPr>
            </w:pPr>
            <w:r w:rsidRPr="00392567">
              <w:rPr>
                <w:rFonts w:cs="Arial"/>
              </w:rPr>
              <w:t>36</w:t>
            </w:r>
          </w:p>
        </w:tc>
        <w:tc>
          <w:tcPr>
            <w:tcW w:w="1143" w:type="dxa"/>
            <w:tcBorders>
              <w:top w:val="single" w:sz="4" w:space="0" w:color="auto"/>
              <w:bottom w:val="single" w:sz="4" w:space="0" w:color="auto"/>
            </w:tcBorders>
            <w:vAlign w:val="center"/>
          </w:tcPr>
          <w:p w14:paraId="1287A425" w14:textId="3CBA37FE" w:rsidR="00392567" w:rsidRPr="00392567" w:rsidRDefault="00392567" w:rsidP="00392567">
            <w:pPr>
              <w:pStyle w:val="TableBody"/>
              <w:jc w:val="left"/>
              <w:rPr>
                <w:rFonts w:cs="Arial"/>
              </w:rPr>
            </w:pPr>
            <w:r w:rsidRPr="00392567">
              <w:rPr>
                <w:rFonts w:cs="Arial"/>
              </w:rPr>
              <w:t>56</w:t>
            </w:r>
          </w:p>
        </w:tc>
      </w:tr>
      <w:tr w:rsidR="00392567" w:rsidRPr="00D74814" w14:paraId="2CDC3B41" w14:textId="77777777" w:rsidTr="00392567">
        <w:tc>
          <w:tcPr>
            <w:tcW w:w="1080" w:type="dxa"/>
            <w:vMerge/>
            <w:tcBorders>
              <w:bottom w:val="single" w:sz="4" w:space="0" w:color="auto"/>
            </w:tcBorders>
            <w:shd w:val="clear" w:color="auto" w:fill="auto"/>
            <w:vAlign w:val="center"/>
          </w:tcPr>
          <w:p w14:paraId="364A087F" w14:textId="77777777" w:rsidR="00392567" w:rsidRPr="00392567" w:rsidRDefault="00392567" w:rsidP="00392567">
            <w:pPr>
              <w:pStyle w:val="TableBody"/>
              <w:rPr>
                <w:rFonts w:cs="Arial"/>
              </w:rPr>
            </w:pPr>
          </w:p>
        </w:tc>
        <w:tc>
          <w:tcPr>
            <w:tcW w:w="959" w:type="dxa"/>
            <w:tcBorders>
              <w:top w:val="single" w:sz="4" w:space="0" w:color="auto"/>
              <w:bottom w:val="single" w:sz="4" w:space="0" w:color="auto"/>
            </w:tcBorders>
            <w:shd w:val="clear" w:color="auto" w:fill="auto"/>
            <w:vAlign w:val="center"/>
          </w:tcPr>
          <w:p w14:paraId="5134BC7D" w14:textId="379C8C25" w:rsidR="00392567" w:rsidRPr="00392567" w:rsidRDefault="00392567" w:rsidP="00392567">
            <w:pPr>
              <w:pStyle w:val="TableBody"/>
              <w:jc w:val="left"/>
              <w:rPr>
                <w:rFonts w:cs="Arial"/>
              </w:rPr>
            </w:pPr>
            <w:r w:rsidRPr="00392567">
              <w:rPr>
                <w:rFonts w:cs="Arial"/>
                <w:b/>
              </w:rPr>
              <w:t>8</w:t>
            </w:r>
            <w:r w:rsidRPr="00392567">
              <w:rPr>
                <w:rFonts w:cs="Arial"/>
                <w:vertAlign w:val="superscript"/>
              </w:rPr>
              <w:t>[b]</w:t>
            </w:r>
          </w:p>
        </w:tc>
        <w:tc>
          <w:tcPr>
            <w:tcW w:w="863" w:type="dxa"/>
            <w:tcBorders>
              <w:top w:val="single" w:sz="4" w:space="0" w:color="auto"/>
              <w:bottom w:val="single" w:sz="4" w:space="0" w:color="auto"/>
            </w:tcBorders>
            <w:shd w:val="clear" w:color="auto" w:fill="auto"/>
            <w:vAlign w:val="center"/>
          </w:tcPr>
          <w:p w14:paraId="6F2FE4C5" w14:textId="5269647C" w:rsidR="00392567" w:rsidRPr="00392567" w:rsidRDefault="00392567" w:rsidP="00392567">
            <w:pPr>
              <w:pStyle w:val="TableBody"/>
              <w:jc w:val="left"/>
              <w:rPr>
                <w:rFonts w:cs="Arial"/>
              </w:rPr>
            </w:pPr>
            <w:r w:rsidRPr="00392567">
              <w:rPr>
                <w:rFonts w:cs="Arial"/>
              </w:rPr>
              <w:t>10</w:t>
            </w:r>
          </w:p>
        </w:tc>
        <w:tc>
          <w:tcPr>
            <w:tcW w:w="830" w:type="dxa"/>
            <w:tcBorders>
              <w:top w:val="single" w:sz="4" w:space="0" w:color="auto"/>
              <w:bottom w:val="single" w:sz="4" w:space="0" w:color="auto"/>
            </w:tcBorders>
            <w:shd w:val="clear" w:color="auto" w:fill="auto"/>
            <w:vAlign w:val="center"/>
          </w:tcPr>
          <w:p w14:paraId="1B683FD9" w14:textId="3FF16B18" w:rsidR="00392567" w:rsidRPr="00392567" w:rsidRDefault="00392567" w:rsidP="00392567">
            <w:pPr>
              <w:pStyle w:val="TableBody"/>
              <w:jc w:val="left"/>
              <w:rPr>
                <w:rFonts w:cs="Arial"/>
              </w:rPr>
            </w:pPr>
            <w:r w:rsidRPr="00392567">
              <w:rPr>
                <w:rFonts w:cs="Arial"/>
              </w:rPr>
              <w:t>40</w:t>
            </w:r>
          </w:p>
        </w:tc>
        <w:tc>
          <w:tcPr>
            <w:tcW w:w="1143" w:type="dxa"/>
            <w:tcBorders>
              <w:top w:val="single" w:sz="4" w:space="0" w:color="auto"/>
              <w:bottom w:val="single" w:sz="4" w:space="0" w:color="auto"/>
            </w:tcBorders>
            <w:vAlign w:val="center"/>
          </w:tcPr>
          <w:p w14:paraId="09661910" w14:textId="256B99F2" w:rsidR="00392567" w:rsidRPr="00392567" w:rsidRDefault="00392567" w:rsidP="00392567">
            <w:pPr>
              <w:pStyle w:val="TableBody"/>
              <w:jc w:val="left"/>
              <w:rPr>
                <w:rFonts w:cs="Arial"/>
              </w:rPr>
            </w:pPr>
            <w:r w:rsidRPr="00392567">
              <w:rPr>
                <w:rFonts w:cs="Arial"/>
              </w:rPr>
              <w:t>82</w:t>
            </w:r>
          </w:p>
        </w:tc>
      </w:tr>
      <w:tr w:rsidR="00392567" w:rsidRPr="00D74814" w14:paraId="24678832" w14:textId="77777777" w:rsidTr="00392567">
        <w:tc>
          <w:tcPr>
            <w:tcW w:w="1080" w:type="dxa"/>
            <w:vMerge w:val="restart"/>
            <w:tcBorders>
              <w:top w:val="single" w:sz="4" w:space="0" w:color="auto"/>
            </w:tcBorders>
            <w:shd w:val="clear" w:color="auto" w:fill="auto"/>
            <w:vAlign w:val="center"/>
          </w:tcPr>
          <w:p w14:paraId="17D9E82F" w14:textId="394D4682" w:rsidR="00392567" w:rsidRPr="00392567" w:rsidRDefault="00392567" w:rsidP="00392567">
            <w:pPr>
              <w:pStyle w:val="TableBody"/>
              <w:jc w:val="center"/>
              <w:rPr>
                <w:rFonts w:cs="Arial"/>
              </w:rPr>
            </w:pPr>
            <w:r w:rsidRPr="00392567">
              <w:rPr>
                <w:rFonts w:cs="Arial"/>
              </w:rPr>
              <w:t>4:1</w:t>
            </w:r>
          </w:p>
        </w:tc>
        <w:tc>
          <w:tcPr>
            <w:tcW w:w="959" w:type="dxa"/>
            <w:tcBorders>
              <w:top w:val="single" w:sz="4" w:space="0" w:color="auto"/>
              <w:bottom w:val="single" w:sz="4" w:space="0" w:color="auto"/>
            </w:tcBorders>
            <w:shd w:val="clear" w:color="auto" w:fill="auto"/>
            <w:vAlign w:val="center"/>
          </w:tcPr>
          <w:p w14:paraId="1DAD1610" w14:textId="07478F08" w:rsidR="00392567" w:rsidRPr="00392567" w:rsidRDefault="00392567" w:rsidP="00392567">
            <w:pPr>
              <w:pStyle w:val="TableBody"/>
              <w:jc w:val="left"/>
              <w:rPr>
                <w:rFonts w:cs="Arial"/>
              </w:rPr>
            </w:pPr>
            <w:r w:rsidRPr="00392567">
              <w:rPr>
                <w:rFonts w:cs="Arial"/>
              </w:rPr>
              <w:t>DMI</w:t>
            </w:r>
          </w:p>
        </w:tc>
        <w:tc>
          <w:tcPr>
            <w:tcW w:w="863" w:type="dxa"/>
            <w:tcBorders>
              <w:top w:val="nil"/>
              <w:bottom w:val="single" w:sz="4" w:space="0" w:color="auto"/>
            </w:tcBorders>
            <w:shd w:val="clear" w:color="auto" w:fill="auto"/>
            <w:vAlign w:val="center"/>
          </w:tcPr>
          <w:p w14:paraId="14342621" w14:textId="3CF16C0F" w:rsidR="00392567" w:rsidRPr="00392567" w:rsidRDefault="00392567" w:rsidP="00392567">
            <w:pPr>
              <w:pStyle w:val="TableBody"/>
              <w:jc w:val="left"/>
              <w:rPr>
                <w:rFonts w:cs="Arial"/>
              </w:rPr>
            </w:pPr>
            <w:r w:rsidRPr="00392567">
              <w:rPr>
                <w:rFonts w:cs="Arial"/>
              </w:rPr>
              <w:t>24</w:t>
            </w:r>
          </w:p>
        </w:tc>
        <w:tc>
          <w:tcPr>
            <w:tcW w:w="830" w:type="dxa"/>
            <w:tcBorders>
              <w:top w:val="nil"/>
              <w:bottom w:val="single" w:sz="4" w:space="0" w:color="auto"/>
            </w:tcBorders>
            <w:shd w:val="clear" w:color="auto" w:fill="auto"/>
            <w:vAlign w:val="center"/>
          </w:tcPr>
          <w:p w14:paraId="2FA769F3" w14:textId="54B6CA88" w:rsidR="00392567" w:rsidRPr="00392567" w:rsidRDefault="00392567" w:rsidP="00392567">
            <w:pPr>
              <w:pStyle w:val="TableBody"/>
              <w:jc w:val="left"/>
              <w:rPr>
                <w:rFonts w:cs="Arial"/>
              </w:rPr>
            </w:pPr>
            <w:r w:rsidRPr="00392567">
              <w:rPr>
                <w:rFonts w:cs="Arial"/>
              </w:rPr>
              <w:t>57</w:t>
            </w:r>
          </w:p>
        </w:tc>
        <w:tc>
          <w:tcPr>
            <w:tcW w:w="1143" w:type="dxa"/>
            <w:tcBorders>
              <w:top w:val="nil"/>
              <w:bottom w:val="single" w:sz="4" w:space="0" w:color="auto"/>
            </w:tcBorders>
            <w:vAlign w:val="center"/>
          </w:tcPr>
          <w:p w14:paraId="44985E54" w14:textId="13C1D258" w:rsidR="00392567" w:rsidRPr="00392567" w:rsidRDefault="00392567" w:rsidP="00392567">
            <w:pPr>
              <w:pStyle w:val="TableBody"/>
              <w:jc w:val="left"/>
              <w:rPr>
                <w:rFonts w:cs="Arial"/>
              </w:rPr>
            </w:pPr>
            <w:r w:rsidRPr="00392567">
              <w:rPr>
                <w:rFonts w:cs="Arial"/>
              </w:rPr>
              <w:t>75</w:t>
            </w:r>
          </w:p>
        </w:tc>
      </w:tr>
      <w:tr w:rsidR="00392567" w:rsidRPr="00D74814" w14:paraId="155633D5" w14:textId="77777777" w:rsidTr="00392567">
        <w:tc>
          <w:tcPr>
            <w:tcW w:w="1080" w:type="dxa"/>
            <w:vMerge/>
            <w:shd w:val="clear" w:color="auto" w:fill="auto"/>
            <w:vAlign w:val="center"/>
          </w:tcPr>
          <w:p w14:paraId="32E0AB2D" w14:textId="77777777" w:rsidR="00392567" w:rsidRPr="00392567" w:rsidRDefault="00392567" w:rsidP="00392567">
            <w:pPr>
              <w:pStyle w:val="TableBody"/>
              <w:rPr>
                <w:rFonts w:cs="Arial"/>
              </w:rPr>
            </w:pPr>
          </w:p>
        </w:tc>
        <w:tc>
          <w:tcPr>
            <w:tcW w:w="959" w:type="dxa"/>
            <w:tcBorders>
              <w:top w:val="single" w:sz="4" w:space="0" w:color="auto"/>
              <w:bottom w:val="single" w:sz="4" w:space="0" w:color="auto"/>
            </w:tcBorders>
            <w:shd w:val="clear" w:color="auto" w:fill="auto"/>
            <w:vAlign w:val="center"/>
          </w:tcPr>
          <w:p w14:paraId="70139BFC" w14:textId="14AB9D5F" w:rsidR="00392567" w:rsidRPr="00392567" w:rsidRDefault="00392567" w:rsidP="00392567">
            <w:pPr>
              <w:pStyle w:val="TableBody"/>
              <w:jc w:val="left"/>
              <w:rPr>
                <w:rFonts w:cs="Arial"/>
              </w:rPr>
            </w:pPr>
            <w:r w:rsidRPr="00392567">
              <w:rPr>
                <w:rFonts w:cs="Arial"/>
              </w:rPr>
              <w:t xml:space="preserve">3:1 </w:t>
            </w:r>
            <w:r w:rsidRPr="00392567">
              <w:rPr>
                <w:rFonts w:cs="Arial"/>
                <w:b/>
              </w:rPr>
              <w:t>4</w:t>
            </w:r>
            <w:r w:rsidRPr="00392567">
              <w:rPr>
                <w:rFonts w:cs="Arial"/>
              </w:rPr>
              <w:t>:DMI</w:t>
            </w:r>
          </w:p>
        </w:tc>
        <w:tc>
          <w:tcPr>
            <w:tcW w:w="863" w:type="dxa"/>
            <w:tcBorders>
              <w:top w:val="single" w:sz="4" w:space="0" w:color="auto"/>
              <w:bottom w:val="single" w:sz="4" w:space="0" w:color="auto"/>
            </w:tcBorders>
            <w:shd w:val="clear" w:color="auto" w:fill="auto"/>
            <w:vAlign w:val="center"/>
          </w:tcPr>
          <w:p w14:paraId="3B540D0E" w14:textId="0852C317" w:rsidR="00392567" w:rsidRPr="00392567" w:rsidRDefault="00392567" w:rsidP="00392567">
            <w:pPr>
              <w:pStyle w:val="TableBody"/>
              <w:jc w:val="left"/>
              <w:rPr>
                <w:rFonts w:cs="Arial"/>
              </w:rPr>
            </w:pPr>
            <w:r w:rsidRPr="00392567">
              <w:rPr>
                <w:rFonts w:cs="Arial"/>
              </w:rPr>
              <w:t>7</w:t>
            </w:r>
          </w:p>
        </w:tc>
        <w:tc>
          <w:tcPr>
            <w:tcW w:w="830" w:type="dxa"/>
            <w:tcBorders>
              <w:top w:val="single" w:sz="4" w:space="0" w:color="auto"/>
              <w:bottom w:val="single" w:sz="4" w:space="0" w:color="auto"/>
            </w:tcBorders>
            <w:shd w:val="clear" w:color="auto" w:fill="auto"/>
            <w:vAlign w:val="center"/>
          </w:tcPr>
          <w:p w14:paraId="2285AB54" w14:textId="73C83C93" w:rsidR="00392567" w:rsidRPr="00392567" w:rsidRDefault="00392567" w:rsidP="00392567">
            <w:pPr>
              <w:pStyle w:val="TableBody"/>
              <w:jc w:val="left"/>
              <w:rPr>
                <w:rFonts w:cs="Arial"/>
              </w:rPr>
            </w:pPr>
            <w:r w:rsidRPr="00392567">
              <w:rPr>
                <w:rFonts w:cs="Arial"/>
              </w:rPr>
              <w:t>42</w:t>
            </w:r>
          </w:p>
        </w:tc>
        <w:tc>
          <w:tcPr>
            <w:tcW w:w="1143" w:type="dxa"/>
            <w:tcBorders>
              <w:top w:val="single" w:sz="4" w:space="0" w:color="auto"/>
              <w:bottom w:val="single" w:sz="4" w:space="0" w:color="auto"/>
            </w:tcBorders>
            <w:vAlign w:val="center"/>
          </w:tcPr>
          <w:p w14:paraId="7D0A75CD" w14:textId="2B9E454B" w:rsidR="00392567" w:rsidRPr="00392567" w:rsidRDefault="00392567" w:rsidP="00392567">
            <w:pPr>
              <w:pStyle w:val="TableBody"/>
              <w:jc w:val="left"/>
              <w:rPr>
                <w:rFonts w:cs="Arial"/>
              </w:rPr>
            </w:pPr>
            <w:r w:rsidRPr="00392567">
              <w:rPr>
                <w:rFonts w:cs="Arial"/>
              </w:rPr>
              <w:t>66</w:t>
            </w:r>
          </w:p>
        </w:tc>
      </w:tr>
      <w:tr w:rsidR="00392567" w:rsidRPr="00D74814" w14:paraId="6B0FF112" w14:textId="77777777" w:rsidTr="00392567">
        <w:tc>
          <w:tcPr>
            <w:tcW w:w="1080" w:type="dxa"/>
            <w:vMerge/>
            <w:tcBorders>
              <w:bottom w:val="single" w:sz="4" w:space="0" w:color="auto"/>
            </w:tcBorders>
            <w:shd w:val="clear" w:color="auto" w:fill="auto"/>
            <w:vAlign w:val="center"/>
          </w:tcPr>
          <w:p w14:paraId="270F3DAF" w14:textId="77777777" w:rsidR="00392567" w:rsidRPr="00392567" w:rsidRDefault="00392567" w:rsidP="00392567">
            <w:pPr>
              <w:pStyle w:val="TableBody"/>
              <w:rPr>
                <w:rFonts w:cs="Arial"/>
              </w:rPr>
            </w:pPr>
          </w:p>
        </w:tc>
        <w:tc>
          <w:tcPr>
            <w:tcW w:w="959" w:type="dxa"/>
            <w:tcBorders>
              <w:top w:val="single" w:sz="4" w:space="0" w:color="auto"/>
              <w:bottom w:val="single" w:sz="4" w:space="0" w:color="auto"/>
            </w:tcBorders>
            <w:shd w:val="clear" w:color="auto" w:fill="auto"/>
            <w:vAlign w:val="center"/>
          </w:tcPr>
          <w:p w14:paraId="0EBE2B1C" w14:textId="1FABA40E" w:rsidR="00392567" w:rsidRPr="00392567" w:rsidRDefault="00392567" w:rsidP="00392567">
            <w:pPr>
              <w:pStyle w:val="TableBody"/>
              <w:jc w:val="left"/>
              <w:rPr>
                <w:rFonts w:cs="Arial"/>
              </w:rPr>
            </w:pPr>
            <w:r w:rsidRPr="00392567">
              <w:rPr>
                <w:rFonts w:cs="Arial"/>
                <w:b/>
              </w:rPr>
              <w:t>8</w:t>
            </w:r>
            <w:r w:rsidRPr="00392567">
              <w:rPr>
                <w:rFonts w:cs="Arial"/>
                <w:vertAlign w:val="superscript"/>
              </w:rPr>
              <w:t>[b]</w:t>
            </w:r>
          </w:p>
        </w:tc>
        <w:tc>
          <w:tcPr>
            <w:tcW w:w="863" w:type="dxa"/>
            <w:tcBorders>
              <w:top w:val="single" w:sz="4" w:space="0" w:color="auto"/>
              <w:bottom w:val="single" w:sz="4" w:space="0" w:color="auto"/>
            </w:tcBorders>
            <w:shd w:val="clear" w:color="auto" w:fill="auto"/>
            <w:vAlign w:val="center"/>
          </w:tcPr>
          <w:p w14:paraId="30887E0E" w14:textId="380A3519" w:rsidR="00392567" w:rsidRPr="00392567" w:rsidRDefault="00392567" w:rsidP="00392567">
            <w:pPr>
              <w:pStyle w:val="TableBody"/>
              <w:jc w:val="left"/>
              <w:rPr>
                <w:rFonts w:cs="Arial"/>
              </w:rPr>
            </w:pPr>
            <w:r w:rsidRPr="00392567">
              <w:rPr>
                <w:rFonts w:cs="Arial"/>
              </w:rPr>
              <w:t>17</w:t>
            </w:r>
          </w:p>
        </w:tc>
        <w:tc>
          <w:tcPr>
            <w:tcW w:w="830" w:type="dxa"/>
            <w:tcBorders>
              <w:top w:val="single" w:sz="4" w:space="0" w:color="auto"/>
              <w:bottom w:val="single" w:sz="4" w:space="0" w:color="auto"/>
            </w:tcBorders>
            <w:shd w:val="clear" w:color="auto" w:fill="auto"/>
            <w:vAlign w:val="center"/>
          </w:tcPr>
          <w:p w14:paraId="7F58B15B" w14:textId="7C397567" w:rsidR="00392567" w:rsidRPr="00392567" w:rsidRDefault="00392567" w:rsidP="00392567">
            <w:pPr>
              <w:pStyle w:val="TableBody"/>
              <w:jc w:val="left"/>
              <w:rPr>
                <w:rFonts w:cs="Arial"/>
              </w:rPr>
            </w:pPr>
            <w:r w:rsidRPr="00392567">
              <w:rPr>
                <w:rFonts w:cs="Arial"/>
              </w:rPr>
              <w:t>90</w:t>
            </w:r>
          </w:p>
        </w:tc>
        <w:tc>
          <w:tcPr>
            <w:tcW w:w="1143" w:type="dxa"/>
            <w:tcBorders>
              <w:top w:val="single" w:sz="4" w:space="0" w:color="auto"/>
              <w:bottom w:val="single" w:sz="4" w:space="0" w:color="auto"/>
            </w:tcBorders>
            <w:vAlign w:val="center"/>
          </w:tcPr>
          <w:p w14:paraId="0898DAD6" w14:textId="69BEF48B" w:rsidR="00392567" w:rsidRPr="00392567" w:rsidRDefault="00392567" w:rsidP="00392567">
            <w:pPr>
              <w:pStyle w:val="TableBody"/>
              <w:jc w:val="left"/>
              <w:rPr>
                <w:rFonts w:cs="Arial"/>
              </w:rPr>
            </w:pPr>
            <w:r w:rsidRPr="00392567">
              <w:rPr>
                <w:rFonts w:cs="Arial"/>
              </w:rPr>
              <w:t>97</w:t>
            </w:r>
          </w:p>
        </w:tc>
      </w:tr>
      <w:tr w:rsidR="00392567" w:rsidRPr="00D74814" w14:paraId="3CB2200D" w14:textId="77777777" w:rsidTr="00392567">
        <w:tc>
          <w:tcPr>
            <w:tcW w:w="1080" w:type="dxa"/>
            <w:vMerge w:val="restart"/>
            <w:tcBorders>
              <w:top w:val="single" w:sz="4" w:space="0" w:color="auto"/>
            </w:tcBorders>
            <w:shd w:val="clear" w:color="auto" w:fill="auto"/>
            <w:vAlign w:val="center"/>
          </w:tcPr>
          <w:p w14:paraId="5DA03B9E" w14:textId="08B35FF0" w:rsidR="00392567" w:rsidRPr="00392567" w:rsidRDefault="00392567" w:rsidP="00392567">
            <w:pPr>
              <w:pStyle w:val="TableBody"/>
              <w:jc w:val="center"/>
              <w:rPr>
                <w:rFonts w:cs="Arial"/>
              </w:rPr>
            </w:pPr>
            <w:r w:rsidRPr="00392567">
              <w:rPr>
                <w:rFonts w:cs="Arial"/>
              </w:rPr>
              <w:t>6:1</w:t>
            </w:r>
          </w:p>
        </w:tc>
        <w:tc>
          <w:tcPr>
            <w:tcW w:w="959" w:type="dxa"/>
            <w:tcBorders>
              <w:top w:val="single" w:sz="4" w:space="0" w:color="auto"/>
              <w:bottom w:val="single" w:sz="4" w:space="0" w:color="auto"/>
            </w:tcBorders>
            <w:shd w:val="clear" w:color="auto" w:fill="auto"/>
            <w:vAlign w:val="center"/>
          </w:tcPr>
          <w:p w14:paraId="671C14CE" w14:textId="56289A07" w:rsidR="00392567" w:rsidRPr="00392567" w:rsidRDefault="00392567" w:rsidP="00392567">
            <w:pPr>
              <w:pStyle w:val="TableBody"/>
              <w:jc w:val="left"/>
              <w:rPr>
                <w:rFonts w:cs="Arial"/>
              </w:rPr>
            </w:pPr>
            <w:r w:rsidRPr="00392567">
              <w:rPr>
                <w:rFonts w:cs="Arial"/>
              </w:rPr>
              <w:t>DMI</w:t>
            </w:r>
          </w:p>
        </w:tc>
        <w:tc>
          <w:tcPr>
            <w:tcW w:w="863" w:type="dxa"/>
            <w:tcBorders>
              <w:top w:val="nil"/>
              <w:bottom w:val="single" w:sz="4" w:space="0" w:color="auto"/>
            </w:tcBorders>
            <w:shd w:val="clear" w:color="auto" w:fill="auto"/>
            <w:vAlign w:val="center"/>
          </w:tcPr>
          <w:p w14:paraId="3B571F11" w14:textId="04749E10" w:rsidR="00392567" w:rsidRPr="00392567" w:rsidRDefault="00392567" w:rsidP="00392567">
            <w:pPr>
              <w:pStyle w:val="TableBody"/>
              <w:jc w:val="left"/>
              <w:rPr>
                <w:rFonts w:cs="Arial"/>
              </w:rPr>
            </w:pPr>
            <w:r w:rsidRPr="00392567">
              <w:rPr>
                <w:rFonts w:cs="Arial"/>
              </w:rPr>
              <w:t>29</w:t>
            </w:r>
          </w:p>
        </w:tc>
        <w:tc>
          <w:tcPr>
            <w:tcW w:w="830" w:type="dxa"/>
            <w:tcBorders>
              <w:top w:val="nil"/>
              <w:bottom w:val="single" w:sz="4" w:space="0" w:color="auto"/>
            </w:tcBorders>
            <w:shd w:val="clear" w:color="auto" w:fill="auto"/>
            <w:vAlign w:val="center"/>
          </w:tcPr>
          <w:p w14:paraId="184FAF29" w14:textId="274C4DE2" w:rsidR="00392567" w:rsidRPr="00392567" w:rsidRDefault="00392567" w:rsidP="00392567">
            <w:pPr>
              <w:pStyle w:val="TableBody"/>
              <w:jc w:val="left"/>
              <w:rPr>
                <w:rFonts w:cs="Arial"/>
              </w:rPr>
            </w:pPr>
            <w:r w:rsidRPr="00392567">
              <w:rPr>
                <w:rFonts w:cs="Arial"/>
              </w:rPr>
              <w:t>63</w:t>
            </w:r>
          </w:p>
        </w:tc>
        <w:tc>
          <w:tcPr>
            <w:tcW w:w="1143" w:type="dxa"/>
            <w:tcBorders>
              <w:top w:val="nil"/>
              <w:bottom w:val="single" w:sz="4" w:space="0" w:color="auto"/>
            </w:tcBorders>
            <w:vAlign w:val="center"/>
          </w:tcPr>
          <w:p w14:paraId="43FF8585" w14:textId="0CA1E466" w:rsidR="00392567" w:rsidRPr="00392567" w:rsidRDefault="00392567" w:rsidP="00392567">
            <w:pPr>
              <w:pStyle w:val="TableBody"/>
              <w:jc w:val="left"/>
              <w:rPr>
                <w:rFonts w:cs="Arial"/>
              </w:rPr>
            </w:pPr>
            <w:r w:rsidRPr="00392567">
              <w:rPr>
                <w:rFonts w:cs="Arial"/>
              </w:rPr>
              <w:t>82</w:t>
            </w:r>
          </w:p>
        </w:tc>
      </w:tr>
      <w:tr w:rsidR="00392567" w:rsidRPr="00D74814" w14:paraId="7AE7EB3B" w14:textId="77777777" w:rsidTr="00392567">
        <w:tc>
          <w:tcPr>
            <w:tcW w:w="1080" w:type="dxa"/>
            <w:vMerge/>
            <w:shd w:val="clear" w:color="auto" w:fill="auto"/>
            <w:vAlign w:val="center"/>
          </w:tcPr>
          <w:p w14:paraId="1884594F" w14:textId="77777777" w:rsidR="00392567" w:rsidRPr="00392567" w:rsidRDefault="00392567" w:rsidP="00392567">
            <w:pPr>
              <w:pStyle w:val="TableBody"/>
              <w:rPr>
                <w:rFonts w:cs="Arial"/>
              </w:rPr>
            </w:pPr>
          </w:p>
        </w:tc>
        <w:tc>
          <w:tcPr>
            <w:tcW w:w="959" w:type="dxa"/>
            <w:tcBorders>
              <w:top w:val="single" w:sz="4" w:space="0" w:color="auto"/>
              <w:bottom w:val="single" w:sz="4" w:space="0" w:color="auto"/>
            </w:tcBorders>
            <w:shd w:val="clear" w:color="auto" w:fill="auto"/>
            <w:vAlign w:val="center"/>
          </w:tcPr>
          <w:p w14:paraId="2862E339" w14:textId="29C77033" w:rsidR="00392567" w:rsidRPr="00392567" w:rsidRDefault="00392567" w:rsidP="00392567">
            <w:pPr>
              <w:pStyle w:val="TableBody"/>
              <w:jc w:val="left"/>
              <w:rPr>
                <w:rFonts w:cs="Arial"/>
              </w:rPr>
            </w:pPr>
            <w:r w:rsidRPr="00392567">
              <w:rPr>
                <w:rFonts w:cs="Arial"/>
              </w:rPr>
              <w:t xml:space="preserve">3:1 </w:t>
            </w:r>
            <w:r w:rsidRPr="00392567">
              <w:rPr>
                <w:rFonts w:cs="Arial"/>
                <w:b/>
              </w:rPr>
              <w:t>4</w:t>
            </w:r>
            <w:r w:rsidRPr="00392567">
              <w:rPr>
                <w:rFonts w:cs="Arial"/>
              </w:rPr>
              <w:t>:DMI</w:t>
            </w:r>
          </w:p>
        </w:tc>
        <w:tc>
          <w:tcPr>
            <w:tcW w:w="863" w:type="dxa"/>
            <w:tcBorders>
              <w:top w:val="single" w:sz="4" w:space="0" w:color="auto"/>
              <w:bottom w:val="single" w:sz="4" w:space="0" w:color="auto"/>
            </w:tcBorders>
            <w:shd w:val="clear" w:color="auto" w:fill="auto"/>
            <w:vAlign w:val="center"/>
          </w:tcPr>
          <w:p w14:paraId="74B3CC08" w14:textId="13884BDD" w:rsidR="00392567" w:rsidRPr="00392567" w:rsidRDefault="00392567" w:rsidP="00392567">
            <w:pPr>
              <w:pStyle w:val="TableBody"/>
              <w:jc w:val="left"/>
              <w:rPr>
                <w:rFonts w:cs="Arial"/>
              </w:rPr>
            </w:pPr>
            <w:r w:rsidRPr="00392567">
              <w:rPr>
                <w:rFonts w:cs="Arial"/>
              </w:rPr>
              <w:t>6</w:t>
            </w:r>
          </w:p>
        </w:tc>
        <w:tc>
          <w:tcPr>
            <w:tcW w:w="830" w:type="dxa"/>
            <w:tcBorders>
              <w:top w:val="single" w:sz="4" w:space="0" w:color="auto"/>
              <w:bottom w:val="single" w:sz="4" w:space="0" w:color="auto"/>
            </w:tcBorders>
            <w:shd w:val="clear" w:color="auto" w:fill="auto"/>
            <w:vAlign w:val="center"/>
          </w:tcPr>
          <w:p w14:paraId="30A7564E" w14:textId="338A0B41" w:rsidR="00392567" w:rsidRPr="00392567" w:rsidRDefault="00392567" w:rsidP="00392567">
            <w:pPr>
              <w:pStyle w:val="TableBody"/>
              <w:jc w:val="left"/>
              <w:rPr>
                <w:rFonts w:cs="Arial"/>
              </w:rPr>
            </w:pPr>
            <w:r w:rsidRPr="00392567">
              <w:rPr>
                <w:rFonts w:cs="Arial"/>
              </w:rPr>
              <w:t>44</w:t>
            </w:r>
          </w:p>
        </w:tc>
        <w:tc>
          <w:tcPr>
            <w:tcW w:w="1143" w:type="dxa"/>
            <w:tcBorders>
              <w:top w:val="single" w:sz="4" w:space="0" w:color="auto"/>
              <w:bottom w:val="single" w:sz="4" w:space="0" w:color="auto"/>
            </w:tcBorders>
            <w:vAlign w:val="center"/>
          </w:tcPr>
          <w:p w14:paraId="1EA6AA81" w14:textId="5F4ADF55" w:rsidR="00392567" w:rsidRPr="00392567" w:rsidRDefault="00392567" w:rsidP="00392567">
            <w:pPr>
              <w:pStyle w:val="TableBody"/>
              <w:jc w:val="left"/>
              <w:rPr>
                <w:rFonts w:cs="Arial"/>
              </w:rPr>
            </w:pPr>
            <w:r w:rsidRPr="00392567">
              <w:rPr>
                <w:rFonts w:cs="Arial"/>
              </w:rPr>
              <w:t>68</w:t>
            </w:r>
          </w:p>
        </w:tc>
      </w:tr>
      <w:tr w:rsidR="00392567" w:rsidRPr="00D74814" w14:paraId="0B45D5EC" w14:textId="77777777" w:rsidTr="00392567">
        <w:tc>
          <w:tcPr>
            <w:tcW w:w="1080" w:type="dxa"/>
            <w:vMerge/>
            <w:tcBorders>
              <w:bottom w:val="single" w:sz="4" w:space="0" w:color="auto"/>
            </w:tcBorders>
            <w:shd w:val="clear" w:color="auto" w:fill="auto"/>
            <w:vAlign w:val="center"/>
          </w:tcPr>
          <w:p w14:paraId="2E382481" w14:textId="77777777" w:rsidR="00392567" w:rsidRPr="00392567" w:rsidRDefault="00392567" w:rsidP="00392567">
            <w:pPr>
              <w:pStyle w:val="TableBody"/>
              <w:rPr>
                <w:rFonts w:cs="Arial"/>
              </w:rPr>
            </w:pPr>
          </w:p>
        </w:tc>
        <w:tc>
          <w:tcPr>
            <w:tcW w:w="959" w:type="dxa"/>
            <w:tcBorders>
              <w:top w:val="single" w:sz="4" w:space="0" w:color="auto"/>
              <w:bottom w:val="single" w:sz="4" w:space="0" w:color="auto"/>
            </w:tcBorders>
            <w:shd w:val="clear" w:color="auto" w:fill="auto"/>
            <w:vAlign w:val="center"/>
          </w:tcPr>
          <w:p w14:paraId="3ADD3C42" w14:textId="164B8756" w:rsidR="00392567" w:rsidRPr="00392567" w:rsidRDefault="00392567" w:rsidP="00392567">
            <w:pPr>
              <w:pStyle w:val="TableBody"/>
              <w:jc w:val="left"/>
              <w:rPr>
                <w:rFonts w:cs="Arial"/>
              </w:rPr>
            </w:pPr>
            <w:r w:rsidRPr="00392567">
              <w:rPr>
                <w:rFonts w:cs="Arial"/>
                <w:b/>
              </w:rPr>
              <w:t>8</w:t>
            </w:r>
            <w:r w:rsidRPr="00392567">
              <w:rPr>
                <w:rFonts w:cs="Arial"/>
                <w:vertAlign w:val="superscript"/>
              </w:rPr>
              <w:t>[b]</w:t>
            </w:r>
          </w:p>
        </w:tc>
        <w:tc>
          <w:tcPr>
            <w:tcW w:w="863" w:type="dxa"/>
            <w:tcBorders>
              <w:top w:val="single" w:sz="4" w:space="0" w:color="auto"/>
              <w:bottom w:val="single" w:sz="4" w:space="0" w:color="auto"/>
            </w:tcBorders>
            <w:shd w:val="clear" w:color="auto" w:fill="auto"/>
            <w:vAlign w:val="center"/>
          </w:tcPr>
          <w:p w14:paraId="545D902F" w14:textId="49266F54" w:rsidR="00392567" w:rsidRPr="00392567" w:rsidRDefault="00392567" w:rsidP="00392567">
            <w:pPr>
              <w:pStyle w:val="TableBody"/>
              <w:jc w:val="left"/>
              <w:rPr>
                <w:rFonts w:cs="Arial"/>
              </w:rPr>
            </w:pPr>
            <w:r w:rsidRPr="00392567">
              <w:rPr>
                <w:rFonts w:cs="Arial"/>
              </w:rPr>
              <w:t>32</w:t>
            </w:r>
          </w:p>
        </w:tc>
        <w:tc>
          <w:tcPr>
            <w:tcW w:w="830" w:type="dxa"/>
            <w:tcBorders>
              <w:top w:val="single" w:sz="4" w:space="0" w:color="auto"/>
              <w:bottom w:val="single" w:sz="4" w:space="0" w:color="auto"/>
            </w:tcBorders>
            <w:shd w:val="clear" w:color="auto" w:fill="auto"/>
            <w:vAlign w:val="center"/>
          </w:tcPr>
          <w:p w14:paraId="24713D9B" w14:textId="5A128BFD" w:rsidR="00392567" w:rsidRPr="00392567" w:rsidRDefault="00392567" w:rsidP="00392567">
            <w:pPr>
              <w:pStyle w:val="TableBody"/>
              <w:jc w:val="left"/>
              <w:rPr>
                <w:rFonts w:cs="Arial"/>
              </w:rPr>
            </w:pPr>
            <w:r w:rsidRPr="00392567">
              <w:rPr>
                <w:rFonts w:cs="Arial"/>
              </w:rPr>
              <w:t>92</w:t>
            </w:r>
          </w:p>
        </w:tc>
        <w:tc>
          <w:tcPr>
            <w:tcW w:w="1143" w:type="dxa"/>
            <w:tcBorders>
              <w:top w:val="single" w:sz="4" w:space="0" w:color="auto"/>
              <w:bottom w:val="single" w:sz="4" w:space="0" w:color="auto"/>
            </w:tcBorders>
            <w:vAlign w:val="center"/>
          </w:tcPr>
          <w:p w14:paraId="275537AE" w14:textId="24E583F9" w:rsidR="00392567" w:rsidRPr="00392567" w:rsidRDefault="00392567" w:rsidP="00392567">
            <w:pPr>
              <w:pStyle w:val="TableBody"/>
              <w:jc w:val="left"/>
              <w:rPr>
                <w:rFonts w:cs="Arial"/>
              </w:rPr>
            </w:pPr>
            <w:r w:rsidRPr="00392567">
              <w:rPr>
                <w:rFonts w:cs="Arial"/>
              </w:rPr>
              <w:t>94</w:t>
            </w:r>
          </w:p>
        </w:tc>
      </w:tr>
      <w:tr w:rsidR="00392567" w:rsidRPr="00D74814" w14:paraId="7FE44FDC" w14:textId="77777777" w:rsidTr="00392567">
        <w:tc>
          <w:tcPr>
            <w:tcW w:w="1080" w:type="dxa"/>
            <w:vMerge w:val="restart"/>
            <w:tcBorders>
              <w:top w:val="single" w:sz="4" w:space="0" w:color="auto"/>
            </w:tcBorders>
            <w:shd w:val="clear" w:color="auto" w:fill="auto"/>
            <w:vAlign w:val="center"/>
          </w:tcPr>
          <w:p w14:paraId="112C6BB2" w14:textId="146A1E71" w:rsidR="00392567" w:rsidRPr="00392567" w:rsidRDefault="00392567" w:rsidP="00392567">
            <w:pPr>
              <w:pStyle w:val="TableBody"/>
              <w:jc w:val="center"/>
              <w:rPr>
                <w:rFonts w:cs="Arial"/>
              </w:rPr>
            </w:pPr>
            <w:r w:rsidRPr="00392567">
              <w:rPr>
                <w:rFonts w:cs="Arial"/>
              </w:rPr>
              <w:t>8:1</w:t>
            </w:r>
          </w:p>
        </w:tc>
        <w:tc>
          <w:tcPr>
            <w:tcW w:w="959" w:type="dxa"/>
            <w:tcBorders>
              <w:top w:val="single" w:sz="4" w:space="0" w:color="auto"/>
              <w:bottom w:val="single" w:sz="4" w:space="0" w:color="auto"/>
            </w:tcBorders>
            <w:shd w:val="clear" w:color="auto" w:fill="auto"/>
            <w:vAlign w:val="center"/>
          </w:tcPr>
          <w:p w14:paraId="702C3E8A" w14:textId="1CE6EF07" w:rsidR="00392567" w:rsidRPr="00392567" w:rsidRDefault="00392567" w:rsidP="00392567">
            <w:pPr>
              <w:pStyle w:val="TableBody"/>
              <w:jc w:val="left"/>
              <w:rPr>
                <w:rFonts w:cs="Arial"/>
              </w:rPr>
            </w:pPr>
            <w:r w:rsidRPr="00392567">
              <w:rPr>
                <w:rFonts w:cs="Arial"/>
              </w:rPr>
              <w:t>DMI</w:t>
            </w:r>
          </w:p>
        </w:tc>
        <w:tc>
          <w:tcPr>
            <w:tcW w:w="863" w:type="dxa"/>
            <w:tcBorders>
              <w:top w:val="single" w:sz="4" w:space="0" w:color="auto"/>
              <w:bottom w:val="single" w:sz="4" w:space="0" w:color="auto"/>
            </w:tcBorders>
            <w:shd w:val="clear" w:color="auto" w:fill="auto"/>
            <w:vAlign w:val="center"/>
          </w:tcPr>
          <w:p w14:paraId="6C681AC8" w14:textId="7BD22728" w:rsidR="00392567" w:rsidRPr="00392567" w:rsidRDefault="00392567" w:rsidP="00392567">
            <w:pPr>
              <w:pStyle w:val="TableBody"/>
              <w:jc w:val="left"/>
              <w:rPr>
                <w:rFonts w:cs="Arial"/>
              </w:rPr>
            </w:pPr>
            <w:r w:rsidRPr="00392567">
              <w:rPr>
                <w:rFonts w:cs="Arial"/>
              </w:rPr>
              <w:t>36</w:t>
            </w:r>
          </w:p>
        </w:tc>
        <w:tc>
          <w:tcPr>
            <w:tcW w:w="830" w:type="dxa"/>
            <w:tcBorders>
              <w:top w:val="single" w:sz="4" w:space="0" w:color="auto"/>
              <w:bottom w:val="single" w:sz="4" w:space="0" w:color="auto"/>
            </w:tcBorders>
            <w:shd w:val="clear" w:color="auto" w:fill="auto"/>
            <w:vAlign w:val="center"/>
          </w:tcPr>
          <w:p w14:paraId="70D86529" w14:textId="3838FDF2" w:rsidR="00392567" w:rsidRPr="00392567" w:rsidRDefault="00392567" w:rsidP="00392567">
            <w:pPr>
              <w:pStyle w:val="TableBody"/>
              <w:jc w:val="left"/>
              <w:rPr>
                <w:rFonts w:cs="Arial"/>
              </w:rPr>
            </w:pPr>
            <w:r w:rsidRPr="00392567">
              <w:rPr>
                <w:rFonts w:cs="Arial"/>
              </w:rPr>
              <w:t>67</w:t>
            </w:r>
          </w:p>
        </w:tc>
        <w:tc>
          <w:tcPr>
            <w:tcW w:w="1143" w:type="dxa"/>
            <w:tcBorders>
              <w:top w:val="single" w:sz="4" w:space="0" w:color="auto"/>
              <w:bottom w:val="single" w:sz="4" w:space="0" w:color="auto"/>
            </w:tcBorders>
            <w:vAlign w:val="center"/>
          </w:tcPr>
          <w:p w14:paraId="38ADD580" w14:textId="3E0B2BFD" w:rsidR="00392567" w:rsidRPr="00392567" w:rsidRDefault="00392567" w:rsidP="00392567">
            <w:pPr>
              <w:pStyle w:val="TableBody"/>
              <w:jc w:val="left"/>
              <w:rPr>
                <w:rFonts w:cs="Arial"/>
              </w:rPr>
            </w:pPr>
            <w:r w:rsidRPr="00392567">
              <w:rPr>
                <w:rFonts w:cs="Arial"/>
              </w:rPr>
              <w:t>86</w:t>
            </w:r>
          </w:p>
        </w:tc>
      </w:tr>
      <w:tr w:rsidR="00392567" w:rsidRPr="00D74814" w14:paraId="65E9CC3D" w14:textId="77777777" w:rsidTr="00392567">
        <w:tc>
          <w:tcPr>
            <w:tcW w:w="1080" w:type="dxa"/>
            <w:vMerge/>
            <w:shd w:val="clear" w:color="auto" w:fill="auto"/>
            <w:vAlign w:val="center"/>
          </w:tcPr>
          <w:p w14:paraId="74D8AC3F" w14:textId="77777777" w:rsidR="00392567" w:rsidRPr="00392567" w:rsidRDefault="00392567" w:rsidP="00392567">
            <w:pPr>
              <w:pStyle w:val="TableBody"/>
              <w:rPr>
                <w:rFonts w:cs="Arial"/>
              </w:rPr>
            </w:pPr>
          </w:p>
        </w:tc>
        <w:tc>
          <w:tcPr>
            <w:tcW w:w="959" w:type="dxa"/>
            <w:tcBorders>
              <w:top w:val="single" w:sz="4" w:space="0" w:color="auto"/>
              <w:bottom w:val="single" w:sz="4" w:space="0" w:color="auto"/>
            </w:tcBorders>
            <w:shd w:val="clear" w:color="auto" w:fill="auto"/>
            <w:vAlign w:val="center"/>
          </w:tcPr>
          <w:p w14:paraId="3754DA82" w14:textId="0E8F02C1" w:rsidR="00392567" w:rsidRPr="00392567" w:rsidRDefault="00392567" w:rsidP="00392567">
            <w:pPr>
              <w:pStyle w:val="TableBody"/>
              <w:jc w:val="left"/>
              <w:rPr>
                <w:rFonts w:cs="Arial"/>
              </w:rPr>
            </w:pPr>
            <w:r w:rsidRPr="00392567">
              <w:rPr>
                <w:rFonts w:cs="Arial"/>
              </w:rPr>
              <w:t xml:space="preserve">3:1 </w:t>
            </w:r>
            <w:r w:rsidRPr="00392567">
              <w:rPr>
                <w:rFonts w:cs="Arial"/>
                <w:b/>
              </w:rPr>
              <w:t>4</w:t>
            </w:r>
            <w:r w:rsidRPr="00392567">
              <w:rPr>
                <w:rFonts w:cs="Arial"/>
              </w:rPr>
              <w:t>:DMI</w:t>
            </w:r>
          </w:p>
        </w:tc>
        <w:tc>
          <w:tcPr>
            <w:tcW w:w="863" w:type="dxa"/>
            <w:tcBorders>
              <w:top w:val="single" w:sz="4" w:space="0" w:color="auto"/>
              <w:bottom w:val="single" w:sz="4" w:space="0" w:color="auto"/>
            </w:tcBorders>
            <w:shd w:val="clear" w:color="auto" w:fill="auto"/>
            <w:vAlign w:val="center"/>
          </w:tcPr>
          <w:p w14:paraId="4D4F7D2D" w14:textId="29D22E2E" w:rsidR="00392567" w:rsidRPr="00392567" w:rsidRDefault="00392567" w:rsidP="00392567">
            <w:pPr>
              <w:pStyle w:val="TableBody"/>
              <w:jc w:val="left"/>
              <w:rPr>
                <w:rFonts w:cs="Arial"/>
              </w:rPr>
            </w:pPr>
            <w:r w:rsidRPr="00392567">
              <w:rPr>
                <w:rFonts w:cs="Arial"/>
              </w:rPr>
              <w:t>9</w:t>
            </w:r>
          </w:p>
        </w:tc>
        <w:tc>
          <w:tcPr>
            <w:tcW w:w="830" w:type="dxa"/>
            <w:tcBorders>
              <w:top w:val="single" w:sz="4" w:space="0" w:color="auto"/>
              <w:bottom w:val="single" w:sz="4" w:space="0" w:color="auto"/>
            </w:tcBorders>
            <w:shd w:val="clear" w:color="auto" w:fill="auto"/>
            <w:vAlign w:val="center"/>
          </w:tcPr>
          <w:p w14:paraId="7D81F9EA" w14:textId="331C5B4B" w:rsidR="00392567" w:rsidRPr="00392567" w:rsidRDefault="00392567" w:rsidP="00392567">
            <w:pPr>
              <w:pStyle w:val="TableBody"/>
              <w:jc w:val="left"/>
              <w:rPr>
                <w:rFonts w:cs="Arial"/>
              </w:rPr>
            </w:pPr>
            <w:r w:rsidRPr="00392567">
              <w:rPr>
                <w:rFonts w:cs="Arial"/>
              </w:rPr>
              <w:t>44</w:t>
            </w:r>
          </w:p>
        </w:tc>
        <w:tc>
          <w:tcPr>
            <w:tcW w:w="1143" w:type="dxa"/>
            <w:tcBorders>
              <w:top w:val="single" w:sz="4" w:space="0" w:color="auto"/>
              <w:bottom w:val="single" w:sz="4" w:space="0" w:color="auto"/>
            </w:tcBorders>
            <w:vAlign w:val="center"/>
          </w:tcPr>
          <w:p w14:paraId="7E5D8CA7" w14:textId="799C0375" w:rsidR="00392567" w:rsidRPr="00392567" w:rsidRDefault="00392567" w:rsidP="00392567">
            <w:pPr>
              <w:pStyle w:val="TableBody"/>
              <w:jc w:val="left"/>
              <w:rPr>
                <w:rFonts w:cs="Arial"/>
              </w:rPr>
            </w:pPr>
            <w:r w:rsidRPr="00392567">
              <w:rPr>
                <w:rFonts w:cs="Arial"/>
              </w:rPr>
              <w:t>68</w:t>
            </w:r>
          </w:p>
        </w:tc>
      </w:tr>
      <w:tr w:rsidR="00392567" w:rsidRPr="00D74814" w14:paraId="4FC5F448" w14:textId="77777777" w:rsidTr="00392567">
        <w:tc>
          <w:tcPr>
            <w:tcW w:w="1080" w:type="dxa"/>
            <w:vMerge/>
            <w:tcBorders>
              <w:bottom w:val="single" w:sz="12" w:space="0" w:color="auto"/>
            </w:tcBorders>
            <w:shd w:val="clear" w:color="auto" w:fill="auto"/>
            <w:vAlign w:val="center"/>
          </w:tcPr>
          <w:p w14:paraId="554D3DD0" w14:textId="77777777" w:rsidR="00392567" w:rsidRPr="00392567" w:rsidRDefault="00392567" w:rsidP="00392567">
            <w:pPr>
              <w:pStyle w:val="TableBody"/>
              <w:rPr>
                <w:rFonts w:cs="Arial"/>
              </w:rPr>
            </w:pPr>
          </w:p>
        </w:tc>
        <w:tc>
          <w:tcPr>
            <w:tcW w:w="959" w:type="dxa"/>
            <w:tcBorders>
              <w:top w:val="single" w:sz="4" w:space="0" w:color="auto"/>
              <w:bottom w:val="single" w:sz="12" w:space="0" w:color="auto"/>
            </w:tcBorders>
            <w:shd w:val="clear" w:color="auto" w:fill="auto"/>
            <w:vAlign w:val="center"/>
          </w:tcPr>
          <w:p w14:paraId="0F4945DB" w14:textId="3FBADE78" w:rsidR="00392567" w:rsidRPr="00392567" w:rsidRDefault="00392567" w:rsidP="00392567">
            <w:pPr>
              <w:pStyle w:val="TableBody"/>
              <w:jc w:val="left"/>
              <w:rPr>
                <w:rFonts w:cs="Arial"/>
              </w:rPr>
            </w:pPr>
            <w:r w:rsidRPr="00392567">
              <w:rPr>
                <w:rFonts w:cs="Arial"/>
                <w:b/>
              </w:rPr>
              <w:t>8</w:t>
            </w:r>
            <w:r w:rsidRPr="00392567">
              <w:rPr>
                <w:rFonts w:cs="Arial"/>
                <w:vertAlign w:val="superscript"/>
              </w:rPr>
              <w:t>[b]</w:t>
            </w:r>
          </w:p>
        </w:tc>
        <w:tc>
          <w:tcPr>
            <w:tcW w:w="863" w:type="dxa"/>
            <w:tcBorders>
              <w:top w:val="single" w:sz="4" w:space="0" w:color="auto"/>
              <w:bottom w:val="single" w:sz="12" w:space="0" w:color="auto"/>
            </w:tcBorders>
            <w:shd w:val="clear" w:color="auto" w:fill="auto"/>
            <w:vAlign w:val="center"/>
          </w:tcPr>
          <w:p w14:paraId="0909AE9D" w14:textId="1E0F925A" w:rsidR="00392567" w:rsidRPr="00392567" w:rsidRDefault="00392567" w:rsidP="00392567">
            <w:pPr>
              <w:pStyle w:val="TableBody"/>
              <w:jc w:val="left"/>
              <w:rPr>
                <w:rFonts w:cs="Arial"/>
              </w:rPr>
            </w:pPr>
            <w:r w:rsidRPr="00392567">
              <w:rPr>
                <w:rFonts w:cs="Arial"/>
              </w:rPr>
              <w:t>42</w:t>
            </w:r>
          </w:p>
        </w:tc>
        <w:tc>
          <w:tcPr>
            <w:tcW w:w="830" w:type="dxa"/>
            <w:tcBorders>
              <w:top w:val="single" w:sz="4" w:space="0" w:color="auto"/>
              <w:bottom w:val="single" w:sz="12" w:space="0" w:color="auto"/>
            </w:tcBorders>
            <w:shd w:val="clear" w:color="auto" w:fill="auto"/>
            <w:vAlign w:val="center"/>
          </w:tcPr>
          <w:p w14:paraId="537C7E86" w14:textId="5E4FF4EE" w:rsidR="00392567" w:rsidRPr="00392567" w:rsidRDefault="00392567" w:rsidP="00392567">
            <w:pPr>
              <w:pStyle w:val="TableBody"/>
              <w:jc w:val="left"/>
              <w:rPr>
                <w:rFonts w:cs="Arial"/>
              </w:rPr>
            </w:pPr>
            <w:r w:rsidRPr="00392567">
              <w:rPr>
                <w:rFonts w:cs="Arial"/>
              </w:rPr>
              <w:t>92</w:t>
            </w:r>
          </w:p>
        </w:tc>
        <w:tc>
          <w:tcPr>
            <w:tcW w:w="1143" w:type="dxa"/>
            <w:tcBorders>
              <w:top w:val="single" w:sz="4" w:space="0" w:color="auto"/>
              <w:bottom w:val="single" w:sz="12" w:space="0" w:color="auto"/>
            </w:tcBorders>
            <w:vAlign w:val="center"/>
          </w:tcPr>
          <w:p w14:paraId="6A0EAB13" w14:textId="518B0901" w:rsidR="00392567" w:rsidRPr="00392567" w:rsidRDefault="00392567" w:rsidP="00392567">
            <w:pPr>
              <w:pStyle w:val="TableBody"/>
              <w:jc w:val="left"/>
              <w:rPr>
                <w:rFonts w:cs="Arial"/>
              </w:rPr>
            </w:pPr>
            <w:r w:rsidRPr="00392567">
              <w:rPr>
                <w:rFonts w:cs="Arial"/>
              </w:rPr>
              <w:t>93</w:t>
            </w:r>
          </w:p>
        </w:tc>
      </w:tr>
      <w:tr w:rsidR="00392567" w:rsidRPr="00A144D7" w14:paraId="4B8E30A6" w14:textId="77777777" w:rsidTr="00392567">
        <w:tc>
          <w:tcPr>
            <w:tcW w:w="4875" w:type="dxa"/>
            <w:gridSpan w:val="5"/>
            <w:tcBorders>
              <w:top w:val="single" w:sz="8" w:space="0" w:color="auto"/>
            </w:tcBorders>
          </w:tcPr>
          <w:p w14:paraId="78395C13" w14:textId="3896BB1D" w:rsidR="00392567" w:rsidRPr="00392567" w:rsidRDefault="00392567" w:rsidP="00392567">
            <w:pPr>
              <w:pStyle w:val="TableFoot"/>
              <w:rPr>
                <w:lang w:val="de-DE"/>
              </w:rPr>
            </w:pPr>
            <w:r w:rsidRPr="00E84F46">
              <w:rPr>
                <w:lang w:val="de-DE"/>
              </w:rPr>
              <w:t xml:space="preserve">2.5 mmol DMI, no catalyst, no solvent, 21 °C. [a] </w:t>
            </w:r>
            <w:r w:rsidRPr="00392567">
              <w:rPr>
                <w:lang w:val="de-DE"/>
              </w:rPr>
              <w:t xml:space="preserve">%yields (molar) were assessed a three different time intervals (2, 24 and 48 hours) and determined by GC-FID of the crude reaction mixture. </w:t>
            </w:r>
            <w:r>
              <w:rPr>
                <w:lang w:val="de-DE"/>
              </w:rPr>
              <w:t>[b]</w:t>
            </w:r>
            <w:r w:rsidRPr="00392567">
              <w:rPr>
                <w:lang w:val="de-DE"/>
              </w:rPr>
              <w:t xml:space="preserve"> </w:t>
            </w:r>
            <w:r w:rsidRPr="00392567">
              <w:rPr>
                <w:b/>
                <w:lang w:val="de-DE"/>
              </w:rPr>
              <w:t>8</w:t>
            </w:r>
            <w:r w:rsidRPr="00392567">
              <w:rPr>
                <w:lang w:val="de-DE"/>
              </w:rPr>
              <w:t xml:space="preserve"> ground with pestle and mortar prior to reaction</w:t>
            </w:r>
            <w:r w:rsidRPr="00E84F46">
              <w:rPr>
                <w:lang w:val="de-DE"/>
              </w:rPr>
              <w:t>.</w:t>
            </w:r>
          </w:p>
        </w:tc>
      </w:tr>
    </w:tbl>
    <w:p w14:paraId="4C7EC7B9" w14:textId="77777777" w:rsidR="00392567" w:rsidRPr="00392567" w:rsidRDefault="00392567" w:rsidP="00392567">
      <w:pPr>
        <w:pStyle w:val="P1"/>
        <w:rPr>
          <w:lang w:val="de-DE"/>
        </w:rPr>
      </w:pPr>
      <w:r w:rsidRPr="00392567">
        <w:rPr>
          <w:lang w:val="de-DE"/>
        </w:rPr>
        <w:t xml:space="preserve">Based on the itaconate system we had expected fumarate </w:t>
      </w:r>
      <w:r w:rsidRPr="00392567">
        <w:rPr>
          <w:b/>
          <w:lang w:val="de-DE"/>
        </w:rPr>
        <w:t>8</w:t>
      </w:r>
      <w:r w:rsidRPr="00392567">
        <w:rPr>
          <w:lang w:val="de-DE"/>
        </w:rPr>
        <w:t xml:space="preserve"> to behave more like mesaconate </w:t>
      </w:r>
      <w:r w:rsidRPr="00392567">
        <w:rPr>
          <w:b/>
          <w:lang w:val="de-DE"/>
        </w:rPr>
        <w:t>4</w:t>
      </w:r>
      <w:r w:rsidRPr="00392567">
        <w:rPr>
          <w:lang w:val="de-DE"/>
        </w:rPr>
        <w:t>, and therefore result in lower yields. This was clearly not the case, but on reflection we attributed this to several possible reasons:</w:t>
      </w:r>
    </w:p>
    <w:p w14:paraId="36C0D641" w14:textId="77777777" w:rsidR="00392567" w:rsidRPr="00392567" w:rsidRDefault="00392567" w:rsidP="00392567">
      <w:pPr>
        <w:pStyle w:val="P1"/>
        <w:numPr>
          <w:ilvl w:val="0"/>
          <w:numId w:val="6"/>
        </w:numPr>
        <w:rPr>
          <w:lang w:val="de-DE"/>
        </w:rPr>
      </w:pPr>
      <w:r w:rsidRPr="00392567">
        <w:rPr>
          <w:lang w:val="de-DE"/>
        </w:rPr>
        <w:t xml:space="preserve">While itaconate </w:t>
      </w:r>
      <w:r w:rsidRPr="00392567">
        <w:rPr>
          <w:b/>
          <w:lang w:val="de-DE"/>
        </w:rPr>
        <w:t>1</w:t>
      </w:r>
      <w:r w:rsidRPr="00392567">
        <w:rPr>
          <w:lang w:val="de-DE"/>
        </w:rPr>
        <w:t xml:space="preserve"> only possesses one site for attack from a soft Michael donor, fumarate </w:t>
      </w:r>
      <w:r w:rsidRPr="00392567">
        <w:rPr>
          <w:b/>
          <w:lang w:val="de-DE"/>
        </w:rPr>
        <w:t>8</w:t>
      </w:r>
      <w:r w:rsidRPr="00392567">
        <w:rPr>
          <w:lang w:val="de-DE"/>
        </w:rPr>
        <w:t xml:space="preserve"> possesses two viable and equal positions of attack for soft nucleophiles, thus undergoing Michael addition at roughly double the rate (Figure 9)</w:t>
      </w:r>
    </w:p>
    <w:p w14:paraId="1EE8517C" w14:textId="77777777" w:rsidR="00392567" w:rsidRPr="00392567" w:rsidRDefault="00392567" w:rsidP="00392567">
      <w:pPr>
        <w:pStyle w:val="P1"/>
        <w:numPr>
          <w:ilvl w:val="0"/>
          <w:numId w:val="6"/>
        </w:numPr>
        <w:rPr>
          <w:lang w:val="de-DE"/>
        </w:rPr>
      </w:pPr>
      <w:r w:rsidRPr="00392567">
        <w:rPr>
          <w:lang w:val="de-DE"/>
        </w:rPr>
        <w:t xml:space="preserve">Mesaconate </w:t>
      </w:r>
      <w:r w:rsidRPr="00392567">
        <w:rPr>
          <w:b/>
          <w:lang w:val="de-DE"/>
        </w:rPr>
        <w:t>4</w:t>
      </w:r>
      <w:r w:rsidRPr="00392567">
        <w:rPr>
          <w:lang w:val="de-DE"/>
        </w:rPr>
        <w:t xml:space="preserve"> also has two sites for addition, though one is sterically hindered by the methyl-group (Figure 9). This additional steric bulk may also promote the retro-Michael addition for compounds </w:t>
      </w:r>
      <w:r w:rsidRPr="00392567">
        <w:rPr>
          <w:b/>
          <w:lang w:val="de-DE"/>
        </w:rPr>
        <w:t>6</w:t>
      </w:r>
      <w:r w:rsidRPr="00392567">
        <w:rPr>
          <w:lang w:val="de-DE"/>
        </w:rPr>
        <w:t xml:space="preserve">  and </w:t>
      </w:r>
      <w:r w:rsidRPr="00392567">
        <w:rPr>
          <w:b/>
          <w:lang w:val="de-DE"/>
        </w:rPr>
        <w:t>7</w:t>
      </w:r>
      <w:r w:rsidRPr="00392567">
        <w:rPr>
          <w:lang w:val="de-DE"/>
        </w:rPr>
        <w:t xml:space="preserve"> (Scheme 6), hence the reason they were not detected during our study</w:t>
      </w:r>
    </w:p>
    <w:p w14:paraId="088748A8" w14:textId="77777777" w:rsidR="00C452C4" w:rsidRDefault="00392567" w:rsidP="00392567">
      <w:pPr>
        <w:pStyle w:val="P1"/>
        <w:numPr>
          <w:ilvl w:val="0"/>
          <w:numId w:val="6"/>
        </w:numPr>
        <w:rPr>
          <w:lang w:val="de-DE"/>
        </w:rPr>
      </w:pPr>
      <w:r w:rsidRPr="00392567">
        <w:rPr>
          <w:lang w:val="de-DE"/>
        </w:rPr>
        <w:t xml:space="preserve">The C=C of </w:t>
      </w:r>
      <w:r w:rsidRPr="00392567">
        <w:rPr>
          <w:b/>
          <w:lang w:val="de-DE"/>
        </w:rPr>
        <w:t>4</w:t>
      </w:r>
      <w:r w:rsidRPr="00392567">
        <w:rPr>
          <w:lang w:val="de-DE"/>
        </w:rPr>
        <w:t xml:space="preserve"> will also receive some electron density from the methyl group, this logically making it a less reactive with nucleophilic amine</w:t>
      </w:r>
    </w:p>
    <w:p w14:paraId="35D877F5" w14:textId="48FB0343" w:rsidR="00392567" w:rsidRPr="00C452C4" w:rsidRDefault="00392567" w:rsidP="00392567">
      <w:pPr>
        <w:pStyle w:val="P1"/>
        <w:numPr>
          <w:ilvl w:val="0"/>
          <w:numId w:val="6"/>
        </w:numPr>
        <w:rPr>
          <w:lang w:val="de-DE"/>
        </w:rPr>
      </w:pPr>
      <w:r w:rsidRPr="00392567">
        <w:t xml:space="preserve">Fumarate </w:t>
      </w:r>
      <w:r w:rsidRPr="00C452C4">
        <w:rPr>
          <w:b/>
        </w:rPr>
        <w:t>8</w:t>
      </w:r>
      <w:r w:rsidRPr="00392567">
        <w:t xml:space="preserve"> is unable to undergo C=C </w:t>
      </w:r>
      <w:proofErr w:type="spellStart"/>
      <w:r w:rsidRPr="00392567">
        <w:t>regioisomerisation</w:t>
      </w:r>
      <w:proofErr w:type="spellEnd"/>
      <w:r w:rsidRPr="00392567">
        <w:t xml:space="preserve"> (Scheme 6), a reaction that lowered the rate of formation of </w:t>
      </w:r>
      <w:r w:rsidRPr="00C452C4">
        <w:rPr>
          <w:b/>
        </w:rPr>
        <w:t>3</w:t>
      </w:r>
      <w:r w:rsidRPr="00392567">
        <w:t xml:space="preserve"> by generating the less reactive isomer </w:t>
      </w:r>
      <w:r w:rsidRPr="00C452C4">
        <w:rPr>
          <w:b/>
        </w:rPr>
        <w:t>4</w:t>
      </w:r>
      <w:r w:rsidRPr="00392567">
        <w:t xml:space="preserve">. Although stereo-isomerism is possible for </w:t>
      </w:r>
      <w:r w:rsidRPr="00C452C4">
        <w:rPr>
          <w:b/>
        </w:rPr>
        <w:t>8</w:t>
      </w:r>
      <w:r w:rsidRPr="00392567">
        <w:t xml:space="preserve"> (to dimethyl maleate </w:t>
      </w:r>
      <w:r w:rsidRPr="00C452C4">
        <w:rPr>
          <w:b/>
        </w:rPr>
        <w:t>10</w:t>
      </w:r>
      <w:r w:rsidRPr="00392567">
        <w:t xml:space="preserve">) the </w:t>
      </w:r>
      <w:proofErr w:type="spellStart"/>
      <w:r w:rsidRPr="00392567">
        <w:t>aza</w:t>
      </w:r>
      <w:proofErr w:type="spellEnd"/>
      <w:r w:rsidRPr="00392567">
        <w:t xml:space="preserve">-Michael addition product from dimethyl maleate would also be </w:t>
      </w:r>
      <w:r w:rsidRPr="00C452C4">
        <w:rPr>
          <w:b/>
        </w:rPr>
        <w:t xml:space="preserve">9 </w:t>
      </w:r>
      <w:r w:rsidRPr="00392567">
        <w:t>(Scheme 6)</w:t>
      </w:r>
    </w:p>
    <w:p w14:paraId="4D6E407B" w14:textId="77777777" w:rsidR="00C452C4" w:rsidRDefault="00C452C4" w:rsidP="00C452C4">
      <w:pPr>
        <w:pStyle w:val="FigureCaption"/>
        <w:rPr>
          <w:sz w:val="17"/>
          <w:szCs w:val="24"/>
          <w:lang w:val="de-DE"/>
        </w:rPr>
      </w:pPr>
    </w:p>
    <w:p w14:paraId="58A342F5" w14:textId="5898C929" w:rsidR="00C452C4" w:rsidRPr="00C452C4" w:rsidRDefault="00EF67B7" w:rsidP="00C452C4">
      <w:pPr>
        <w:pStyle w:val="P1"/>
        <w:rPr>
          <w:sz w:val="14"/>
        </w:rPr>
      </w:pPr>
      <w:r>
        <w:rPr>
          <w:noProof/>
        </w:rPr>
        <w:object w:dxaOrig="1440" w:dyaOrig="1440" w14:anchorId="7D532CF0">
          <v:shape id="_x0000_s1079" type="#_x0000_t75" style="position:absolute;left:0;text-align:left;margin-left:257.95pt;margin-top:127.8pt;width:243.6pt;height:123.6pt;z-index:251684352;mso-position-horizontal-relative:margin;mso-position-vertical-relative:margin">
            <v:imagedata r:id="rId33" o:title=""/>
            <w10:wrap type="square" anchorx="margin" anchory="margin"/>
          </v:shape>
          <o:OLEObject Type="Embed" ProgID="ChemDraw.Document.6.0" ShapeID="_x0000_s1079" DrawAspect="Content" ObjectID="_1589103332" r:id="rId34"/>
        </w:object>
      </w:r>
      <w:r>
        <w:rPr>
          <w:noProof/>
          <w:sz w:val="14"/>
        </w:rPr>
        <w:object w:dxaOrig="1440" w:dyaOrig="1440" w14:anchorId="3B903D43">
          <v:shape id="_x0000_s1078" type="#_x0000_t75" style="position:absolute;left:0;text-align:left;margin-left:2512.4pt;margin-top:0;width:243.6pt;height:98.4pt;z-index:251682304;mso-position-horizontal:right;mso-position-horizontal-relative:margin;mso-position-vertical:top;mso-position-vertical-relative:margin">
            <v:imagedata r:id="rId35" o:title=""/>
            <w10:wrap type="square" anchorx="margin" anchory="margin"/>
          </v:shape>
          <o:OLEObject Type="Embed" ProgID="ChemDraw.Document.6.0" ShapeID="_x0000_s1078" DrawAspect="Content" ObjectID="_1589103333" r:id="rId36"/>
        </w:object>
      </w:r>
      <w:r w:rsidR="00C452C4" w:rsidRPr="00C452C4">
        <w:rPr>
          <w:b/>
          <w:sz w:val="14"/>
        </w:rPr>
        <w:t>Figure 9.</w:t>
      </w:r>
      <w:r w:rsidR="00C452C4" w:rsidRPr="00C452C4">
        <w:rPr>
          <w:sz w:val="14"/>
        </w:rPr>
        <w:t xml:space="preserve"> Possible positions for </w:t>
      </w:r>
      <w:proofErr w:type="spellStart"/>
      <w:r w:rsidR="00C452C4" w:rsidRPr="00C452C4">
        <w:rPr>
          <w:sz w:val="14"/>
        </w:rPr>
        <w:t>aza</w:t>
      </w:r>
      <w:proofErr w:type="spellEnd"/>
      <w:r w:rsidR="00C452C4" w:rsidRPr="00C452C4">
        <w:rPr>
          <w:sz w:val="14"/>
        </w:rPr>
        <w:t xml:space="preserve">-Michael addition attack on </w:t>
      </w:r>
      <w:proofErr w:type="spellStart"/>
      <w:r w:rsidR="00C452C4" w:rsidRPr="00C452C4">
        <w:rPr>
          <w:sz w:val="14"/>
        </w:rPr>
        <w:t>itaconate</w:t>
      </w:r>
      <w:proofErr w:type="spellEnd"/>
      <w:r w:rsidR="00C452C4" w:rsidRPr="00C452C4">
        <w:rPr>
          <w:sz w:val="14"/>
        </w:rPr>
        <w:t xml:space="preserve"> (</w:t>
      </w:r>
      <w:r w:rsidR="00C452C4" w:rsidRPr="00C452C4">
        <w:rPr>
          <w:b/>
          <w:sz w:val="14"/>
        </w:rPr>
        <w:t>1</w:t>
      </w:r>
      <w:r w:rsidR="00C452C4" w:rsidRPr="00C452C4">
        <w:rPr>
          <w:sz w:val="14"/>
        </w:rPr>
        <w:t xml:space="preserve">), </w:t>
      </w:r>
      <w:proofErr w:type="spellStart"/>
      <w:r w:rsidR="00C452C4" w:rsidRPr="00C452C4">
        <w:rPr>
          <w:sz w:val="14"/>
        </w:rPr>
        <w:t>mesaconate</w:t>
      </w:r>
      <w:proofErr w:type="spellEnd"/>
      <w:r w:rsidR="00C452C4" w:rsidRPr="00C452C4">
        <w:rPr>
          <w:sz w:val="14"/>
        </w:rPr>
        <w:t xml:space="preserve"> (</w:t>
      </w:r>
      <w:r w:rsidR="00C452C4" w:rsidRPr="00C452C4">
        <w:rPr>
          <w:b/>
          <w:sz w:val="14"/>
        </w:rPr>
        <w:t>4</w:t>
      </w:r>
      <w:r w:rsidR="00C452C4" w:rsidRPr="00C452C4">
        <w:rPr>
          <w:sz w:val="14"/>
        </w:rPr>
        <w:t>) and fumarate (</w:t>
      </w:r>
      <w:r w:rsidR="00C452C4" w:rsidRPr="00C452C4">
        <w:rPr>
          <w:b/>
          <w:sz w:val="14"/>
        </w:rPr>
        <w:t>8</w:t>
      </w:r>
      <w:r w:rsidR="00C452C4" w:rsidRPr="00C452C4">
        <w:rPr>
          <w:sz w:val="14"/>
        </w:rPr>
        <w:t>).</w:t>
      </w:r>
    </w:p>
    <w:p w14:paraId="5F579158" w14:textId="721B35E7" w:rsidR="00C9071F" w:rsidRDefault="00C452C4" w:rsidP="00C452C4">
      <w:pPr>
        <w:pStyle w:val="P1"/>
        <w:rPr>
          <w:sz w:val="14"/>
        </w:rPr>
      </w:pPr>
      <w:r w:rsidRPr="00C452C4">
        <w:rPr>
          <w:b/>
          <w:sz w:val="14"/>
        </w:rPr>
        <w:t>Scheme 6</w:t>
      </w:r>
      <w:r w:rsidR="00C9071F" w:rsidRPr="00C452C4">
        <w:rPr>
          <w:b/>
          <w:sz w:val="14"/>
        </w:rPr>
        <w:t>.</w:t>
      </w:r>
      <w:r w:rsidR="00C9071F" w:rsidRPr="00C452C4">
        <w:rPr>
          <w:sz w:val="14"/>
        </w:rPr>
        <w:t xml:space="preserve"> </w:t>
      </w:r>
      <w:r w:rsidRPr="00C452C4">
        <w:rPr>
          <w:sz w:val="14"/>
        </w:rPr>
        <w:t xml:space="preserve">Comparison of </w:t>
      </w:r>
      <w:proofErr w:type="spellStart"/>
      <w:r w:rsidRPr="00C452C4">
        <w:rPr>
          <w:sz w:val="14"/>
        </w:rPr>
        <w:t>itaconate</w:t>
      </w:r>
      <w:proofErr w:type="spellEnd"/>
      <w:r w:rsidRPr="00C452C4">
        <w:rPr>
          <w:sz w:val="14"/>
        </w:rPr>
        <w:t xml:space="preserve"> (</w:t>
      </w:r>
      <w:r w:rsidRPr="00C452C4">
        <w:rPr>
          <w:b/>
          <w:sz w:val="14"/>
        </w:rPr>
        <w:t>1</w:t>
      </w:r>
      <w:r w:rsidRPr="00C452C4">
        <w:rPr>
          <w:sz w:val="14"/>
        </w:rPr>
        <w:t>) and fumarate (</w:t>
      </w:r>
      <w:r w:rsidRPr="00C452C4">
        <w:rPr>
          <w:b/>
          <w:sz w:val="14"/>
        </w:rPr>
        <w:t>8</w:t>
      </w:r>
      <w:r w:rsidRPr="00C452C4">
        <w:rPr>
          <w:sz w:val="14"/>
        </w:rPr>
        <w:t xml:space="preserve">) pathways to </w:t>
      </w:r>
      <w:proofErr w:type="spellStart"/>
      <w:r w:rsidRPr="00C452C4">
        <w:rPr>
          <w:sz w:val="14"/>
        </w:rPr>
        <w:t>aza</w:t>
      </w:r>
      <w:proofErr w:type="spellEnd"/>
      <w:r w:rsidRPr="00C452C4">
        <w:rPr>
          <w:sz w:val="14"/>
        </w:rPr>
        <w:t>-Michael adducts</w:t>
      </w:r>
      <w:r w:rsidR="00C9071F" w:rsidRPr="00C452C4">
        <w:rPr>
          <w:sz w:val="14"/>
        </w:rPr>
        <w:t>.</w:t>
      </w:r>
    </w:p>
    <w:p w14:paraId="14FAF281" w14:textId="77777777" w:rsidR="00C452C4" w:rsidRDefault="00C452C4" w:rsidP="00C452C4">
      <w:pPr>
        <w:pStyle w:val="P1"/>
      </w:pPr>
    </w:p>
    <w:p w14:paraId="18EFC38D" w14:textId="54BC91F1" w:rsidR="00C452C4" w:rsidRPr="00F96419" w:rsidRDefault="00C452C4" w:rsidP="00C452C4">
      <w:pPr>
        <w:pStyle w:val="P1"/>
      </w:pPr>
      <w:r w:rsidRPr="00C452C4">
        <w:t xml:space="preserve">Evidently, the </w:t>
      </w:r>
      <w:proofErr w:type="spellStart"/>
      <w:r w:rsidRPr="00C452C4">
        <w:t>behaviour</w:t>
      </w:r>
      <w:proofErr w:type="spellEnd"/>
      <w:r w:rsidRPr="00C452C4">
        <w:t xml:space="preserve"> of fumarate </w:t>
      </w:r>
      <w:r w:rsidRPr="00C452C4">
        <w:rPr>
          <w:b/>
        </w:rPr>
        <w:t>8</w:t>
      </w:r>
      <w:r w:rsidRPr="00C452C4">
        <w:t xml:space="preserve"> in acting as an </w:t>
      </w:r>
      <w:proofErr w:type="spellStart"/>
      <w:r w:rsidRPr="00C452C4">
        <w:t>aza</w:t>
      </w:r>
      <w:proofErr w:type="spellEnd"/>
      <w:r w:rsidRPr="00C452C4">
        <w:t xml:space="preserve">-Michael acceptor clearly differentiates from </w:t>
      </w:r>
      <w:proofErr w:type="spellStart"/>
      <w:r w:rsidRPr="00C452C4">
        <w:t>itaconates</w:t>
      </w:r>
      <w:proofErr w:type="spellEnd"/>
      <w:r w:rsidRPr="00C452C4">
        <w:t>, the key being the amine-</w:t>
      </w:r>
      <w:proofErr w:type="spellStart"/>
      <w:r w:rsidRPr="00C452C4">
        <w:t>catalysed</w:t>
      </w:r>
      <w:proofErr w:type="spellEnd"/>
      <w:r w:rsidRPr="00C452C4">
        <w:t xml:space="preserve"> </w:t>
      </w:r>
      <w:proofErr w:type="spellStart"/>
      <w:r w:rsidRPr="00C452C4">
        <w:t>regioisomerisation</w:t>
      </w:r>
      <w:proofErr w:type="spellEnd"/>
      <w:r w:rsidRPr="00C452C4">
        <w:t xml:space="preserve"> of the latter dominating the rates of formation of adduct </w:t>
      </w:r>
      <w:r w:rsidRPr="00C452C4">
        <w:rPr>
          <w:b/>
        </w:rPr>
        <w:t>3</w:t>
      </w:r>
      <w:r w:rsidRPr="00C452C4">
        <w:t xml:space="preserve"> during the later stages of the reaction. This study has therefore highlighted the fundamental issue in using </w:t>
      </w:r>
      <w:proofErr w:type="spellStart"/>
      <w:r w:rsidRPr="00C452C4">
        <w:t>itaconates</w:t>
      </w:r>
      <w:proofErr w:type="spellEnd"/>
      <w:r w:rsidRPr="00C452C4">
        <w:t xml:space="preserve">, including polyesters, as an </w:t>
      </w:r>
      <w:proofErr w:type="spellStart"/>
      <w:r w:rsidRPr="00C452C4">
        <w:t>aza</w:t>
      </w:r>
      <w:proofErr w:type="spellEnd"/>
      <w:r w:rsidRPr="00C452C4">
        <w:t xml:space="preserve">-Michael acceptor and that if length of reactions need to be reduced then developing methods that promote the addition without also increasing </w:t>
      </w:r>
      <w:proofErr w:type="spellStart"/>
      <w:r w:rsidRPr="00C452C4">
        <w:t>regioisomerisation</w:t>
      </w:r>
      <w:proofErr w:type="spellEnd"/>
      <w:r w:rsidR="00996E07">
        <w:t xml:space="preserve"> </w:t>
      </w:r>
      <w:r w:rsidR="00996E07" w:rsidRPr="00F96419">
        <w:t>of the alkene</w:t>
      </w:r>
      <w:r w:rsidRPr="00F96419">
        <w:t xml:space="preserve"> are most certainly needed.</w:t>
      </w:r>
    </w:p>
    <w:p w14:paraId="2BF30B3E" w14:textId="77777777" w:rsidR="00996E07" w:rsidRPr="00F96419" w:rsidRDefault="00996E07" w:rsidP="00C452C4">
      <w:pPr>
        <w:pStyle w:val="P1"/>
      </w:pPr>
    </w:p>
    <w:p w14:paraId="69B94AEC" w14:textId="2A5C2BD3" w:rsidR="00996E07" w:rsidRPr="00F96419" w:rsidRDefault="00996E07" w:rsidP="00996E07">
      <w:pPr>
        <w:pStyle w:val="P1"/>
        <w:rPr>
          <w:b/>
        </w:rPr>
      </w:pPr>
      <w:r w:rsidRPr="00F96419">
        <w:rPr>
          <w:b/>
        </w:rPr>
        <w:t xml:space="preserve">Preliminary Studies of Addition to </w:t>
      </w:r>
      <w:proofErr w:type="spellStart"/>
      <w:r w:rsidRPr="00F96419">
        <w:rPr>
          <w:b/>
        </w:rPr>
        <w:t>Itaconate</w:t>
      </w:r>
      <w:proofErr w:type="spellEnd"/>
      <w:r w:rsidRPr="00F96419">
        <w:rPr>
          <w:b/>
        </w:rPr>
        <w:t xml:space="preserve"> Polyesters</w:t>
      </w:r>
    </w:p>
    <w:p w14:paraId="660D5E20" w14:textId="7B995A91" w:rsidR="008421CA" w:rsidRDefault="00A71152" w:rsidP="00C452C4">
      <w:pPr>
        <w:pStyle w:val="P1"/>
      </w:pPr>
      <w:r w:rsidRPr="00F96419">
        <w:t>A</w:t>
      </w:r>
      <w:r w:rsidR="00996E07" w:rsidRPr="00F96419">
        <w:t xml:space="preserve"> significant observation from the above study was the remarkable regio-selectivity of the addition, with only the </w:t>
      </w:r>
      <w:proofErr w:type="spellStart"/>
      <w:r w:rsidR="00996E07" w:rsidRPr="00F96419">
        <w:t>itaconate</w:t>
      </w:r>
      <w:proofErr w:type="spellEnd"/>
      <w:r w:rsidR="00996E07" w:rsidRPr="00F96419">
        <w:t xml:space="preserve"> reacting with DEA to form adduct </w:t>
      </w:r>
      <w:r w:rsidR="00996E07" w:rsidRPr="00F96419">
        <w:rPr>
          <w:b/>
        </w:rPr>
        <w:t>3</w:t>
      </w:r>
      <w:r w:rsidR="00996E07" w:rsidRPr="00F96419">
        <w:t xml:space="preserve">. As such we performed a preliminary study of DEA addition onto two </w:t>
      </w:r>
      <w:proofErr w:type="spellStart"/>
      <w:r w:rsidR="00996E07" w:rsidRPr="00F96419">
        <w:t>itaconate</w:t>
      </w:r>
      <w:proofErr w:type="spellEnd"/>
      <w:r w:rsidR="00996E07" w:rsidRPr="00F96419">
        <w:t xml:space="preserve"> polyesters (</w:t>
      </w:r>
      <w:r w:rsidR="00EB7AE9" w:rsidRPr="00F96419">
        <w:rPr>
          <w:b/>
          <w:color w:val="000000" w:themeColor="text1"/>
        </w:rPr>
        <w:t>11</w:t>
      </w:r>
      <w:r w:rsidR="00446F8D" w:rsidRPr="00F96419">
        <w:rPr>
          <w:b/>
          <w:color w:val="000000" w:themeColor="text1"/>
        </w:rPr>
        <w:t>a</w:t>
      </w:r>
      <w:r w:rsidR="00EB7AE9" w:rsidRPr="00F96419">
        <w:t xml:space="preserve"> </w:t>
      </w:r>
      <w:proofErr w:type="gramStart"/>
      <w:r w:rsidR="00996E07" w:rsidRPr="00F96419">
        <w:t>po</w:t>
      </w:r>
      <w:r w:rsidR="00EB7AE9" w:rsidRPr="00F96419">
        <w:t>ly(</w:t>
      </w:r>
      <w:proofErr w:type="gramEnd"/>
      <w:r w:rsidR="00EB7AE9" w:rsidRPr="00F96419">
        <w:t xml:space="preserve">1,3-propylene </w:t>
      </w:r>
      <w:proofErr w:type="spellStart"/>
      <w:r w:rsidR="00EB7AE9" w:rsidRPr="00F96419">
        <w:t>itaconate</w:t>
      </w:r>
      <w:proofErr w:type="spellEnd"/>
      <w:r w:rsidR="00EB7AE9" w:rsidRPr="00F96419">
        <w:t>) and</w:t>
      </w:r>
      <w:r w:rsidR="00446F8D" w:rsidRPr="00F96419">
        <w:t xml:space="preserve"> </w:t>
      </w:r>
      <w:r w:rsidR="00446F8D" w:rsidRPr="00F96419">
        <w:rPr>
          <w:b/>
          <w:color w:val="000000" w:themeColor="text1"/>
        </w:rPr>
        <w:t>11b</w:t>
      </w:r>
      <w:r w:rsidR="00EB7AE9" w:rsidRPr="00F96419">
        <w:t xml:space="preserve"> </w:t>
      </w:r>
      <w:r w:rsidR="00996E07" w:rsidRPr="00F96419">
        <w:t xml:space="preserve">poly(1,4-butylene </w:t>
      </w:r>
      <w:proofErr w:type="spellStart"/>
      <w:r w:rsidR="00996E07" w:rsidRPr="00F96419">
        <w:t>itaconate</w:t>
      </w:r>
      <w:proofErr w:type="spellEnd"/>
      <w:r w:rsidR="00996E07" w:rsidRPr="00F96419">
        <w:t>)).</w:t>
      </w:r>
      <w:r w:rsidR="00917A1F" w:rsidRPr="00F96419">
        <w:t xml:space="preserve"> When leaving the solvent-less reaction for an extended length of time (</w:t>
      </w:r>
      <w:r w:rsidR="00467D84" w:rsidRPr="00F96419">
        <w:rPr>
          <w:color w:val="000000" w:themeColor="text1"/>
        </w:rPr>
        <w:t>96</w:t>
      </w:r>
      <w:r w:rsidR="00917A1F" w:rsidRPr="00F96419">
        <w:t xml:space="preserve"> hours) it was indeed confirmed that </w:t>
      </w:r>
      <w:r w:rsidR="00646F91" w:rsidRPr="00F96419">
        <w:t xml:space="preserve">total </w:t>
      </w:r>
      <w:proofErr w:type="spellStart"/>
      <w:r w:rsidR="00646F91" w:rsidRPr="00F96419">
        <w:t>regioselectivity</w:t>
      </w:r>
      <w:proofErr w:type="spellEnd"/>
      <w:r w:rsidR="00646F91" w:rsidRPr="00F96419">
        <w:t xml:space="preserve"> with</w:t>
      </w:r>
      <w:r w:rsidR="00917A1F" w:rsidRPr="00F96419">
        <w:t xml:space="preserve"> addition only to the </w:t>
      </w:r>
      <w:proofErr w:type="spellStart"/>
      <w:r w:rsidR="00917A1F" w:rsidRPr="00F96419">
        <w:t>itaconate</w:t>
      </w:r>
      <w:proofErr w:type="spellEnd"/>
      <w:r w:rsidR="00646F91" w:rsidRPr="00F96419">
        <w:t xml:space="preserve"> (</w:t>
      </w:r>
      <w:r w:rsidR="00EB7AE9" w:rsidRPr="00F96419">
        <w:rPr>
          <w:b/>
        </w:rPr>
        <w:t>12</w:t>
      </w:r>
      <w:r w:rsidR="00EB7AE9" w:rsidRPr="00F96419">
        <w:t xml:space="preserve">, </w:t>
      </w:r>
      <w:r w:rsidR="00646F91" w:rsidRPr="00F96419">
        <w:t>Scheme 7)</w:t>
      </w:r>
      <w:r w:rsidR="00917A1F" w:rsidRPr="00F96419">
        <w:t xml:space="preserve"> was observed despite the starting unsaturated polyesters initially containing </w:t>
      </w:r>
      <w:r w:rsidR="00446F8D" w:rsidRPr="00F96419">
        <w:t xml:space="preserve">~8% </w:t>
      </w:r>
      <w:proofErr w:type="spellStart"/>
      <w:r w:rsidR="00446F8D" w:rsidRPr="00F96419">
        <w:t>mesaconate</w:t>
      </w:r>
      <w:proofErr w:type="spellEnd"/>
      <w:r w:rsidR="00B3192C" w:rsidRPr="00F96419">
        <w:t xml:space="preserve"> (see Figure S13 and S14</w:t>
      </w:r>
      <w:r w:rsidR="00917A1F" w:rsidRPr="00F96419">
        <w:t>).</w:t>
      </w:r>
      <w:r w:rsidRPr="00F96419">
        <w:t xml:space="preserve"> This observation </w:t>
      </w:r>
      <w:r w:rsidR="001477FF" w:rsidRPr="00F96419">
        <w:t xml:space="preserve">could highlight </w:t>
      </w:r>
      <w:r w:rsidRPr="00F96419">
        <w:t>positive benefits for polymers modified in this manner as high regio-selecti</w:t>
      </w:r>
      <w:r w:rsidR="002C5713" w:rsidRPr="00F96419">
        <w:t>vity</w:t>
      </w:r>
      <w:r w:rsidRPr="00F96419">
        <w:t xml:space="preserve"> leading to a </w:t>
      </w:r>
      <w:r w:rsidR="002C5713" w:rsidRPr="00F96419">
        <w:t xml:space="preserve">single </w:t>
      </w:r>
      <w:r w:rsidRPr="00F96419">
        <w:t xml:space="preserve">constitutional repeat unit </w:t>
      </w:r>
      <w:r w:rsidR="002C5713" w:rsidRPr="00F96419">
        <w:t>will increase the likelihood of crystalline regions forming in modified polymer,</w:t>
      </w:r>
      <w:r w:rsidR="00446F8D" w:rsidRPr="00F96419">
        <w:t xml:space="preserve"> possibly</w:t>
      </w:r>
      <w:r w:rsidR="002C5713" w:rsidRPr="00F96419">
        <w:t xml:space="preserve"> </w:t>
      </w:r>
      <w:r w:rsidR="00446F8D" w:rsidRPr="00F96419">
        <w:t xml:space="preserve">improving </w:t>
      </w:r>
      <w:r w:rsidR="002C5713" w:rsidRPr="00F96419">
        <w:t xml:space="preserve">strength and stability </w:t>
      </w:r>
      <w:r w:rsidR="00446F8D" w:rsidRPr="00F96419">
        <w:t>of the resultant polyester</w:t>
      </w:r>
      <w:r w:rsidR="002C5713" w:rsidRPr="00F96419">
        <w:t>.</w:t>
      </w:r>
    </w:p>
    <w:p w14:paraId="26FBF52C" w14:textId="577051BD" w:rsidR="00646F91" w:rsidRPr="00212FD6" w:rsidRDefault="00EF67B7" w:rsidP="00C452C4">
      <w:pPr>
        <w:pStyle w:val="P1"/>
        <w:rPr>
          <w:b/>
          <w:sz w:val="14"/>
        </w:rPr>
      </w:pPr>
      <w:r>
        <w:rPr>
          <w:noProof/>
        </w:rPr>
        <w:lastRenderedPageBreak/>
        <w:object w:dxaOrig="1440" w:dyaOrig="1440" w14:anchorId="3D7C9FE0">
          <v:shape id="_x0000_s1089" type="#_x0000_t75" style="position:absolute;left:0;text-align:left;margin-left:0;margin-top:0;width:243.6pt;height:158.4pt;z-index:251692544;mso-position-horizontal:left;mso-position-horizontal-relative:margin;mso-position-vertical:top;mso-position-vertical-relative:margin">
            <v:imagedata r:id="rId37" o:title=""/>
            <w10:wrap type="square" anchorx="margin" anchory="margin"/>
          </v:shape>
          <o:OLEObject Type="Embed" ProgID="ChemDraw.Document.6.0" ShapeID="_x0000_s1089" DrawAspect="Content" ObjectID="_1589103334" r:id="rId38"/>
        </w:object>
      </w:r>
      <w:r w:rsidR="00446F8D" w:rsidRPr="00F96419">
        <w:rPr>
          <w:b/>
          <w:sz w:val="14"/>
        </w:rPr>
        <w:t>Scheme 7</w:t>
      </w:r>
      <w:r w:rsidR="00646F91" w:rsidRPr="00F96419">
        <w:rPr>
          <w:b/>
          <w:sz w:val="14"/>
        </w:rPr>
        <w:t>.</w:t>
      </w:r>
      <w:r w:rsidR="00646F91" w:rsidRPr="00F96419">
        <w:rPr>
          <w:sz w:val="14"/>
        </w:rPr>
        <w:t xml:space="preserve"> Comparison of </w:t>
      </w:r>
      <w:proofErr w:type="spellStart"/>
      <w:r w:rsidR="00646F91" w:rsidRPr="00F96419">
        <w:rPr>
          <w:sz w:val="14"/>
        </w:rPr>
        <w:t>itaconate</w:t>
      </w:r>
      <w:proofErr w:type="spellEnd"/>
      <w:r w:rsidR="00646F91" w:rsidRPr="00F96419">
        <w:rPr>
          <w:sz w:val="14"/>
        </w:rPr>
        <w:t xml:space="preserve"> (</w:t>
      </w:r>
      <w:r w:rsidR="00646F91" w:rsidRPr="00F96419">
        <w:rPr>
          <w:b/>
          <w:sz w:val="14"/>
        </w:rPr>
        <w:t>1</w:t>
      </w:r>
      <w:r w:rsidR="00646F91" w:rsidRPr="00F96419">
        <w:rPr>
          <w:sz w:val="14"/>
        </w:rPr>
        <w:t>) and fumarate (</w:t>
      </w:r>
      <w:r w:rsidR="00646F91" w:rsidRPr="00F96419">
        <w:rPr>
          <w:b/>
          <w:sz w:val="14"/>
        </w:rPr>
        <w:t>8</w:t>
      </w:r>
      <w:r w:rsidR="00646F91" w:rsidRPr="00F96419">
        <w:rPr>
          <w:sz w:val="14"/>
        </w:rPr>
        <w:t xml:space="preserve">) pathways to </w:t>
      </w:r>
      <w:proofErr w:type="spellStart"/>
      <w:r w:rsidR="00646F91" w:rsidRPr="00F96419">
        <w:rPr>
          <w:sz w:val="14"/>
        </w:rPr>
        <w:t>aza</w:t>
      </w:r>
      <w:proofErr w:type="spellEnd"/>
      <w:r w:rsidR="00646F91" w:rsidRPr="00F96419">
        <w:rPr>
          <w:sz w:val="14"/>
        </w:rPr>
        <w:t>-Michael adducts</w:t>
      </w:r>
    </w:p>
    <w:p w14:paraId="1674B565" w14:textId="636C5129" w:rsidR="00854A3E" w:rsidRDefault="00854A3E" w:rsidP="00854A3E">
      <w:pPr>
        <w:pStyle w:val="H1"/>
      </w:pPr>
      <w:r>
        <w:t>Conclusions</w:t>
      </w:r>
    </w:p>
    <w:p w14:paraId="165FA362" w14:textId="5C9CD61F" w:rsidR="00D80821" w:rsidRPr="00C452C4" w:rsidRDefault="00C452C4" w:rsidP="00D80821">
      <w:pPr>
        <w:pStyle w:val="P1"/>
        <w:rPr>
          <w:lang w:val="de-DE"/>
        </w:rPr>
      </w:pPr>
      <w:r w:rsidRPr="00C452C4">
        <w:rPr>
          <w:lang w:val="de-DE"/>
        </w:rPr>
        <w:t xml:space="preserve">This </w:t>
      </w:r>
      <w:r w:rsidR="00A1351B">
        <w:rPr>
          <w:lang w:val="de-DE"/>
        </w:rPr>
        <w:t>comprehensive</w:t>
      </w:r>
      <w:r w:rsidRPr="00C452C4">
        <w:rPr>
          <w:lang w:val="de-DE"/>
        </w:rPr>
        <w:t xml:space="preserve"> study of the aza-Michael addition onto itaconates has shown how a competing pathway exists between the desired addition and the undesired regioisomerisation to the mesaconate unit. We have reaffirmed throughout this study that the mesaconate unit itself does not form the aza-Michael adduct and that instead reformation of the itaconate from reversal of the regioisomerisation is required, this also leading to a single product (as confirmed by GC and NMR spectroscopy). The reversal of the regioisomerisation is roughly 1-order of magnitude slower in rate than the initial addition to itaconate, and therefore extended reaction times of several days are required to allow near quantitative formation of the aza-Michael adduct. By preparing an equilibrated itaconate:mesaconate mixture we confirmed both the role of amines as catalysts for the isomerisation and that the mesaconate does not form adduct but instead slowly reverts back to itaconate for subsequent addition to occur. The study was extended to fumarates and this highlight again the significant importance that the regioisomerisation plays, as formation of the fumarate adduct was significantly faster due to its inability to regio-isomerise. When collectively reviewed the data presented here gives valuable insights into how aza-Michael additions to itaconates should be carried out. The ideal target should be development of new catalysts that promote the desired Michael addition over the regioisomerisation, as the latter will inherently occur in the system due to the presence of amine. This conclusion is of particular relevance to research</w:t>
      </w:r>
      <w:r w:rsidRPr="00F96419">
        <w:rPr>
          <w:lang w:val="de-DE"/>
        </w:rPr>
        <w:t>er</w:t>
      </w:r>
      <w:r w:rsidR="005C5432" w:rsidRPr="00F96419">
        <w:rPr>
          <w:lang w:val="de-DE"/>
        </w:rPr>
        <w:t>s</w:t>
      </w:r>
      <w:r w:rsidRPr="00C452C4">
        <w:rPr>
          <w:lang w:val="de-DE"/>
        </w:rPr>
        <w:t xml:space="preserve"> currently developing new polymers based on post-polymerisation modification of itaconate polyesters, and would indicate that minimising regioisomerisation during formation of the polyester would also aid any subsequent post-polymerisation step.</w:t>
      </w:r>
    </w:p>
    <w:p w14:paraId="6E0BA936" w14:textId="77777777" w:rsidR="007D2ED9" w:rsidRPr="00C8278A" w:rsidRDefault="000E76B8" w:rsidP="000E76B8">
      <w:pPr>
        <w:pStyle w:val="HExperimentalSection"/>
        <w:rPr>
          <w:lang w:val="en-US"/>
        </w:rPr>
      </w:pPr>
      <w:r w:rsidRPr="00C8278A">
        <w:rPr>
          <w:lang w:val="en-US"/>
        </w:rPr>
        <w:t>Experimental Section</w:t>
      </w:r>
    </w:p>
    <w:p w14:paraId="075BD50E" w14:textId="2D2DC133" w:rsidR="00C452C4" w:rsidRPr="00C452C4" w:rsidRDefault="00C452C4" w:rsidP="00C452C4">
      <w:pPr>
        <w:pStyle w:val="ExperimentalSection"/>
        <w:rPr>
          <w:lang w:val="de-DE"/>
        </w:rPr>
      </w:pPr>
      <w:r w:rsidRPr="00C452C4">
        <w:rPr>
          <w:lang w:val="de-DE"/>
        </w:rPr>
        <w:t>GC</w:t>
      </w:r>
      <w:r>
        <w:rPr>
          <w:lang w:val="de-DE"/>
        </w:rPr>
        <w:t>-FID</w:t>
      </w:r>
      <w:r w:rsidRPr="00C452C4">
        <w:rPr>
          <w:lang w:val="de-DE"/>
        </w:rPr>
        <w:t xml:space="preserve"> analysis was performed on an Agilent Technologies 6890N Network GC System (1μl automated sample injection (Agilent Technologies 7683B Series Injector), 300 °C injector temperature, 40:1 </w:t>
      </w:r>
      <w:r w:rsidRPr="00C452C4">
        <w:rPr>
          <w:lang w:val="de-DE"/>
        </w:rPr>
        <w:t>split ratio, HP-5 (5% phenyl methyl siloxane) capillary column (30 m x 0.32 mm, film thickness = 0.25 μm), 12 psi constant pressure, initial 2.5 mL min</w:t>
      </w:r>
      <w:r w:rsidRPr="00C452C4">
        <w:rPr>
          <w:vertAlign w:val="superscript"/>
          <w:lang w:val="de-DE"/>
        </w:rPr>
        <w:t>-1</w:t>
      </w:r>
      <w:r w:rsidRPr="00C452C4">
        <w:rPr>
          <w:lang w:val="de-DE"/>
        </w:rPr>
        <w:t xml:space="preserve"> He carrier gas flow rate). GC detection via an Aglient FID (300 °C FID heater temperature, 35 mL min</w:t>
      </w:r>
      <w:r w:rsidRPr="00C452C4">
        <w:rPr>
          <w:vertAlign w:val="superscript"/>
          <w:lang w:val="de-DE"/>
        </w:rPr>
        <w:t>-1</w:t>
      </w:r>
      <w:r w:rsidRPr="00C452C4">
        <w:rPr>
          <w:lang w:val="de-DE"/>
        </w:rPr>
        <w:t xml:space="preserve"> N</w:t>
      </w:r>
      <w:r w:rsidRPr="00C452C4">
        <w:rPr>
          <w:vertAlign w:val="subscript"/>
          <w:lang w:val="de-DE"/>
        </w:rPr>
        <w:t>2</w:t>
      </w:r>
      <w:r w:rsidRPr="00C452C4">
        <w:rPr>
          <w:lang w:val="de-DE"/>
        </w:rPr>
        <w:t xml:space="preserve"> make-up gas, 35 ml min</w:t>
      </w:r>
      <w:r w:rsidRPr="00C452C4">
        <w:rPr>
          <w:vertAlign w:val="superscript"/>
          <w:lang w:val="de-DE"/>
        </w:rPr>
        <w:t>-1</w:t>
      </w:r>
      <w:r w:rsidRPr="00C452C4">
        <w:rPr>
          <w:lang w:val="de-DE"/>
        </w:rPr>
        <w:t xml:space="preserve"> H</w:t>
      </w:r>
      <w:r w:rsidRPr="00C452C4">
        <w:rPr>
          <w:vertAlign w:val="subscript"/>
          <w:lang w:val="de-DE"/>
        </w:rPr>
        <w:t>2</w:t>
      </w:r>
      <w:r w:rsidRPr="00C452C4">
        <w:rPr>
          <w:lang w:val="de-DE"/>
        </w:rPr>
        <w:t>, 350 mL min</w:t>
      </w:r>
      <w:r w:rsidRPr="00C452C4">
        <w:rPr>
          <w:vertAlign w:val="superscript"/>
          <w:lang w:val="de-DE"/>
        </w:rPr>
        <w:t>-1</w:t>
      </w:r>
      <w:r w:rsidRPr="00C452C4">
        <w:rPr>
          <w:lang w:val="de-DE"/>
        </w:rPr>
        <w:t xml:space="preserve"> air FID feed gas).</w:t>
      </w:r>
      <w:r w:rsidRPr="00C452C4">
        <w:rPr>
          <w:vertAlign w:val="superscript"/>
          <w:lang w:val="de-DE"/>
        </w:rPr>
        <w:t xml:space="preserve"> 1</w:t>
      </w:r>
      <w:r w:rsidRPr="00C452C4">
        <w:rPr>
          <w:lang w:val="de-DE"/>
        </w:rPr>
        <w:t xml:space="preserve">H and proton-decoupled </w:t>
      </w:r>
      <w:r w:rsidRPr="00C452C4">
        <w:rPr>
          <w:vertAlign w:val="superscript"/>
          <w:lang w:val="de-DE"/>
        </w:rPr>
        <w:t>13</w:t>
      </w:r>
      <w:r w:rsidRPr="00C452C4">
        <w:rPr>
          <w:lang w:val="de-DE"/>
        </w:rPr>
        <w:t>C NMR spectra were obtained on a Jeol 400 spectrometer, in various solvents (CDCl</w:t>
      </w:r>
      <w:r w:rsidRPr="00C452C4">
        <w:rPr>
          <w:vertAlign w:val="subscript"/>
          <w:lang w:val="de-DE"/>
        </w:rPr>
        <w:t>3</w:t>
      </w:r>
      <w:r w:rsidRPr="00C452C4">
        <w:rPr>
          <w:lang w:val="de-DE"/>
        </w:rPr>
        <w:t>, D</w:t>
      </w:r>
      <w:r w:rsidRPr="00C452C4">
        <w:rPr>
          <w:vertAlign w:val="subscript"/>
          <w:lang w:val="de-DE"/>
        </w:rPr>
        <w:t>2</w:t>
      </w:r>
      <w:r w:rsidRPr="00C452C4">
        <w:rPr>
          <w:lang w:val="de-DE"/>
        </w:rPr>
        <w:t>O, d</w:t>
      </w:r>
      <w:r w:rsidRPr="00C452C4">
        <w:rPr>
          <w:vertAlign w:val="subscript"/>
          <w:lang w:val="de-DE"/>
        </w:rPr>
        <w:t>6</w:t>
      </w:r>
      <w:r w:rsidRPr="00C452C4">
        <w:rPr>
          <w:lang w:val="de-DE"/>
        </w:rPr>
        <w:t>-DMSO or d</w:t>
      </w:r>
      <w:r w:rsidRPr="00C452C4">
        <w:rPr>
          <w:vertAlign w:val="subscript"/>
          <w:lang w:val="de-DE"/>
        </w:rPr>
        <w:t>4</w:t>
      </w:r>
      <w:r w:rsidRPr="00C452C4">
        <w:rPr>
          <w:lang w:val="de-DE"/>
        </w:rPr>
        <w:t>-methanol). Chemical shifts were calibrated using the internal solvent resonance and referenced to TMS. IR spectra were obtained by running crude or purified samples neat on a Bruker Vertex 70 fitted with Specac Golden Gate ATR. Standard EI and CI GC-MS data was obtained using a HP 5890 capillary column gas chromatograph interfaced with a VG Autospec high performance mass spectrometer in positive ion mode. Accurate mass values were obtained using a Bruker MicrOTOF ESI-TOF, and compared to theoretical 4.d.p relative molecular masses for assessment of product purity and elemental composition confirmation.</w:t>
      </w:r>
    </w:p>
    <w:p w14:paraId="4246E459" w14:textId="77777777" w:rsidR="00C452C4" w:rsidRDefault="00C452C4" w:rsidP="00C452C4">
      <w:pPr>
        <w:pStyle w:val="ExperimentalSection"/>
      </w:pPr>
      <w:r w:rsidRPr="00C452C4">
        <w:t xml:space="preserve">Room temperature </w:t>
      </w:r>
      <w:proofErr w:type="spellStart"/>
      <w:r w:rsidRPr="00C452C4">
        <w:t>aza</w:t>
      </w:r>
      <w:proofErr w:type="spellEnd"/>
      <w:r w:rsidRPr="00C452C4">
        <w:t xml:space="preserve">-Michael additions were performed in 5-mL </w:t>
      </w:r>
      <w:proofErr w:type="spellStart"/>
      <w:r w:rsidRPr="00C452C4">
        <w:t>Supelco</w:t>
      </w:r>
      <w:proofErr w:type="spellEnd"/>
      <w:r w:rsidRPr="00C452C4">
        <w:t xml:space="preserve"> sealed glass multi-position vessels, designed specifically for small scale reactions. The reactions were studied using GC-FID analysis; DCM as the sample solvent and quench for reaction. To collect the crude product excess </w:t>
      </w:r>
      <w:proofErr w:type="spellStart"/>
      <w:r w:rsidRPr="00C452C4">
        <w:t>diethylamine</w:t>
      </w:r>
      <w:proofErr w:type="spellEnd"/>
      <w:r w:rsidRPr="00C452C4">
        <w:t xml:space="preserve"> (</w:t>
      </w:r>
      <w:proofErr w:type="spellStart"/>
      <w:r w:rsidRPr="00C452C4">
        <w:t>aza</w:t>
      </w:r>
      <w:proofErr w:type="spellEnd"/>
      <w:r w:rsidRPr="00C452C4">
        <w:t xml:space="preserve">-Michael donor) was removed under vacuum (2 mbar, &gt;3 h). Purification of </w:t>
      </w:r>
      <w:proofErr w:type="spellStart"/>
      <w:r w:rsidRPr="00C452C4">
        <w:t>aza</w:t>
      </w:r>
      <w:proofErr w:type="spellEnd"/>
      <w:r w:rsidRPr="00C452C4">
        <w:t xml:space="preserve">-Michael addition product was achieved using a K60 packed column with a gradient solvent ratio (ethyl acetate/hexane). The purified products were used for determination of GC-FID relative molar response factors (RMRFs) and assignment of retention times. Structures of products were confirmed by </w:t>
      </w:r>
      <w:r w:rsidRPr="00C452C4">
        <w:rPr>
          <w:vertAlign w:val="superscript"/>
        </w:rPr>
        <w:t>1</w:t>
      </w:r>
      <w:r w:rsidRPr="00C452C4">
        <w:t xml:space="preserve">H and </w:t>
      </w:r>
      <w:r w:rsidRPr="00C452C4">
        <w:rPr>
          <w:vertAlign w:val="superscript"/>
        </w:rPr>
        <w:t>13</w:t>
      </w:r>
      <w:r w:rsidRPr="00C452C4">
        <w:t xml:space="preserve">C NMR spectroscopy. RMRFs were determined (see ESI) for dimethyl </w:t>
      </w:r>
      <w:proofErr w:type="spellStart"/>
      <w:r w:rsidRPr="00C452C4">
        <w:t>itaconate</w:t>
      </w:r>
      <w:proofErr w:type="spellEnd"/>
      <w:r w:rsidRPr="00C452C4">
        <w:t xml:space="preserve"> (</w:t>
      </w:r>
      <w:r w:rsidRPr="00C452C4">
        <w:rPr>
          <w:b/>
        </w:rPr>
        <w:t>1</w:t>
      </w:r>
      <w:r w:rsidRPr="00C452C4">
        <w:t>) and dimethyl fumarate (</w:t>
      </w:r>
      <w:r w:rsidRPr="00C452C4">
        <w:rPr>
          <w:b/>
        </w:rPr>
        <w:t>8</w:t>
      </w:r>
      <w:r w:rsidRPr="00C452C4">
        <w:t xml:space="preserve">) and their corresponding </w:t>
      </w:r>
      <w:proofErr w:type="spellStart"/>
      <w:r w:rsidRPr="00C452C4">
        <w:t>aza</w:t>
      </w:r>
      <w:proofErr w:type="spellEnd"/>
      <w:r w:rsidRPr="00C452C4">
        <w:t>-Michael adducts (</w:t>
      </w:r>
      <w:r w:rsidRPr="00C452C4">
        <w:rPr>
          <w:b/>
        </w:rPr>
        <w:t xml:space="preserve">3 </w:t>
      </w:r>
      <w:r w:rsidRPr="00C452C4">
        <w:t>and</w:t>
      </w:r>
      <w:r w:rsidRPr="00C452C4">
        <w:rPr>
          <w:b/>
        </w:rPr>
        <w:t xml:space="preserve"> 9 </w:t>
      </w:r>
      <w:r w:rsidRPr="00C452C4">
        <w:t xml:space="preserve">respectively). RMRFs for dimethyl </w:t>
      </w:r>
      <w:proofErr w:type="spellStart"/>
      <w:r w:rsidRPr="00C452C4">
        <w:t>mesaconate</w:t>
      </w:r>
      <w:proofErr w:type="spellEnd"/>
      <w:r w:rsidRPr="00C452C4">
        <w:t xml:space="preserve"> (</w:t>
      </w:r>
      <w:r w:rsidRPr="00C452C4">
        <w:rPr>
          <w:b/>
        </w:rPr>
        <w:t>4</w:t>
      </w:r>
      <w:r w:rsidRPr="00C452C4">
        <w:t xml:space="preserve">) and dimethyl </w:t>
      </w:r>
      <w:proofErr w:type="spellStart"/>
      <w:r w:rsidRPr="00C452C4">
        <w:t>citraconate</w:t>
      </w:r>
      <w:proofErr w:type="spellEnd"/>
      <w:r w:rsidRPr="00C452C4">
        <w:t xml:space="preserve"> (</w:t>
      </w:r>
      <w:r w:rsidRPr="00C452C4">
        <w:rPr>
          <w:b/>
        </w:rPr>
        <w:t>5</w:t>
      </w:r>
      <w:r w:rsidRPr="00C452C4">
        <w:t xml:space="preserve">) were assumed identical to their regio-isomer </w:t>
      </w:r>
      <w:r w:rsidRPr="00C452C4">
        <w:rPr>
          <w:b/>
        </w:rPr>
        <w:t>1</w:t>
      </w:r>
      <w:r w:rsidRPr="00C452C4">
        <w:t xml:space="preserve">, while the </w:t>
      </w:r>
      <w:proofErr w:type="spellStart"/>
      <w:r w:rsidRPr="00C452C4">
        <w:t>aza</w:t>
      </w:r>
      <w:proofErr w:type="spellEnd"/>
      <w:r w:rsidRPr="00C452C4">
        <w:t xml:space="preserve">-Michael adducts </w:t>
      </w:r>
      <w:r w:rsidRPr="00C452C4">
        <w:rPr>
          <w:b/>
        </w:rPr>
        <w:t xml:space="preserve">6 </w:t>
      </w:r>
      <w:r w:rsidRPr="00C452C4">
        <w:t xml:space="preserve">and </w:t>
      </w:r>
      <w:r w:rsidRPr="00C452C4">
        <w:rPr>
          <w:b/>
        </w:rPr>
        <w:t>7</w:t>
      </w:r>
      <w:r w:rsidRPr="00C452C4">
        <w:t xml:space="preserve"> were assumed to have the same RMRFs as their isomer</w:t>
      </w:r>
      <w:r w:rsidRPr="00C452C4">
        <w:rPr>
          <w:b/>
        </w:rPr>
        <w:t xml:space="preserve"> 3</w:t>
      </w:r>
      <w:r w:rsidRPr="00C452C4">
        <w:t xml:space="preserve">. RMRF for dimethyl maleate </w:t>
      </w:r>
      <w:r w:rsidRPr="00C452C4">
        <w:rPr>
          <w:b/>
        </w:rPr>
        <w:t xml:space="preserve">10 </w:t>
      </w:r>
      <w:r w:rsidRPr="00C452C4">
        <w:t>was assumed identical to its stereo-isomer</w:t>
      </w:r>
      <w:r w:rsidRPr="00C452C4">
        <w:rPr>
          <w:b/>
        </w:rPr>
        <w:t xml:space="preserve"> 8</w:t>
      </w:r>
      <w:r w:rsidRPr="00C452C4">
        <w:t>.</w:t>
      </w:r>
      <w:bookmarkStart w:id="4" w:name="_Ref216925494"/>
      <w:r>
        <w:t xml:space="preserve"> </w:t>
      </w:r>
    </w:p>
    <w:p w14:paraId="1F6527A7" w14:textId="300A94B9" w:rsidR="00C452C4" w:rsidRPr="00F96419" w:rsidRDefault="00C452C4" w:rsidP="00C452C4">
      <w:pPr>
        <w:pStyle w:val="ExperimentalSection"/>
      </w:pPr>
      <w:r w:rsidRPr="00C452C4">
        <w:t xml:space="preserve">The suitability of chloroform as a solvent quench for the addition was also confirmed through NMR spectroscopy analysis. At each point of the kinetic study shown in </w:t>
      </w:r>
      <w:r w:rsidRPr="00F96419">
        <w:t>Figure S1</w:t>
      </w:r>
      <w:r w:rsidR="00B3192C" w:rsidRPr="00F96419">
        <w:t>5</w:t>
      </w:r>
      <w:r w:rsidRPr="00F96419">
        <w:t xml:space="preserve"> a small amount (~5 mg) of the reaction mixture were added in ~1 mL of CDCl</w:t>
      </w:r>
      <w:r w:rsidRPr="00F96419">
        <w:rPr>
          <w:vertAlign w:val="subscript"/>
        </w:rPr>
        <w:t>3</w:t>
      </w:r>
      <w:r w:rsidRPr="00F96419">
        <w:t xml:space="preserve"> and the so prepared samples were run immediately on a </w:t>
      </w:r>
      <w:proofErr w:type="spellStart"/>
      <w:r w:rsidRPr="00F96419">
        <w:t>Jeol</w:t>
      </w:r>
      <w:proofErr w:type="spellEnd"/>
      <w:r w:rsidRPr="00F96419">
        <w:t xml:space="preserve"> JNM-ECS400A in order to evaluate the kinetic of the reaction. The very same samples (stored in the NMR tube) were kept at 21 ºC and </w:t>
      </w:r>
      <w:proofErr w:type="spellStart"/>
      <w:r w:rsidRPr="00F96419">
        <w:t>analyzed</w:t>
      </w:r>
      <w:proofErr w:type="spellEnd"/>
      <w:r w:rsidRPr="00F96419">
        <w:t xml:space="preserve"> after 1, 2, 4 and 24 h from the initial </w:t>
      </w:r>
      <w:r w:rsidRPr="00F96419">
        <w:rPr>
          <w:vertAlign w:val="superscript"/>
        </w:rPr>
        <w:t>1</w:t>
      </w:r>
      <w:r w:rsidRPr="00F96419">
        <w:t>H-NMR spectroscopy analysis used for the kinetic study. Figure S1</w:t>
      </w:r>
      <w:r w:rsidR="00B3192C" w:rsidRPr="00F96419">
        <w:t>6</w:t>
      </w:r>
      <w:r w:rsidRPr="00F96419">
        <w:t xml:space="preserve"> in ESI shows how, over the considered timeframe, there is no significant progression of the reaction, confirming that dilution of the reaction mixture in CDCl</w:t>
      </w:r>
      <w:r w:rsidRPr="00F96419">
        <w:rPr>
          <w:vertAlign w:val="subscript"/>
        </w:rPr>
        <w:t>3</w:t>
      </w:r>
      <w:r w:rsidRPr="00F96419">
        <w:t xml:space="preserve"> was an effective means of quenching for the purposes of the kinetic study.</w:t>
      </w:r>
    </w:p>
    <w:p w14:paraId="077DFE73" w14:textId="3CF89BB9" w:rsidR="00996E07" w:rsidRPr="005C5432" w:rsidRDefault="00A71152" w:rsidP="00C452C4">
      <w:pPr>
        <w:pStyle w:val="ExperimentalSection"/>
      </w:pPr>
      <w:r w:rsidRPr="00F96419">
        <w:t>Unsaturated p</w:t>
      </w:r>
      <w:r w:rsidR="00996E07" w:rsidRPr="00F96419">
        <w:t>olyesters for the preliminary study of the addition of DEA</w:t>
      </w:r>
      <w:r w:rsidR="000C3C65" w:rsidRPr="00F96419">
        <w:t xml:space="preserve"> were prepared using the previously published method using a titanium </w:t>
      </w:r>
      <w:proofErr w:type="spellStart"/>
      <w:r w:rsidR="000C3C65" w:rsidRPr="00F96419">
        <w:t>alkoxide</w:t>
      </w:r>
      <w:proofErr w:type="spellEnd"/>
      <w:r w:rsidR="000C3C65" w:rsidRPr="00F96419">
        <w:t xml:space="preserve"> catalyst.</w:t>
      </w:r>
      <w:r w:rsidR="000C3C65" w:rsidRPr="00F96419">
        <w:rPr>
          <w:vertAlign w:val="superscript"/>
        </w:rPr>
        <w:t>4a</w:t>
      </w:r>
      <w:r w:rsidR="005C5432" w:rsidRPr="00F96419">
        <w:t xml:space="preserve"> Addition to the polyesters was performed by dissolving </w:t>
      </w:r>
      <w:r w:rsidR="00467D84" w:rsidRPr="00F96419">
        <w:rPr>
          <w:color w:val="000000" w:themeColor="text1"/>
        </w:rPr>
        <w:t xml:space="preserve">24 </w:t>
      </w:r>
      <w:proofErr w:type="spellStart"/>
      <w:r w:rsidR="00467D84" w:rsidRPr="00F96419">
        <w:rPr>
          <w:color w:val="000000" w:themeColor="text1"/>
        </w:rPr>
        <w:t>mmol</w:t>
      </w:r>
      <w:proofErr w:type="spellEnd"/>
      <w:r w:rsidR="00467D84" w:rsidRPr="00F96419">
        <w:rPr>
          <w:color w:val="000000" w:themeColor="text1"/>
        </w:rPr>
        <w:t xml:space="preserve"> (w.r.t. constitutional repeat unit) </w:t>
      </w:r>
      <w:r w:rsidR="00467D84" w:rsidRPr="00F96419">
        <w:t>of polyester into 10.4</w:t>
      </w:r>
      <w:r w:rsidR="005C5432" w:rsidRPr="00F96419">
        <w:t xml:space="preserve"> mL</w:t>
      </w:r>
      <w:r w:rsidR="00467D84" w:rsidRPr="00F96419">
        <w:t xml:space="preserve"> (100 </w:t>
      </w:r>
      <w:proofErr w:type="spellStart"/>
      <w:r w:rsidR="00467D84" w:rsidRPr="00F96419">
        <w:t>mmol</w:t>
      </w:r>
      <w:proofErr w:type="spellEnd"/>
      <w:r w:rsidR="00467D84" w:rsidRPr="00F96419">
        <w:t>)</w:t>
      </w:r>
      <w:r w:rsidR="005C5432" w:rsidRPr="00F96419">
        <w:t xml:space="preserve"> of DEA</w:t>
      </w:r>
      <w:r w:rsidR="001223C7" w:rsidRPr="00F96419">
        <w:t xml:space="preserve"> and stirred at 21 </w:t>
      </w:r>
      <w:r w:rsidR="001223C7" w:rsidRPr="00F96419">
        <w:rPr>
          <w:rFonts w:ascii="Calibri" w:hAnsi="Calibri" w:cs="Calibri"/>
        </w:rPr>
        <w:t>°</w:t>
      </w:r>
      <w:r w:rsidR="001223C7" w:rsidRPr="00F96419">
        <w:t>C</w:t>
      </w:r>
      <w:r w:rsidR="005C5432" w:rsidRPr="00F96419">
        <w:t xml:space="preserve"> for </w:t>
      </w:r>
      <w:r w:rsidR="00467D84" w:rsidRPr="00F96419">
        <w:rPr>
          <w:color w:val="000000" w:themeColor="text1"/>
        </w:rPr>
        <w:t>96</w:t>
      </w:r>
      <w:r w:rsidR="005C5432" w:rsidRPr="00F96419">
        <w:t xml:space="preserve"> hours. The excess DEA was removed </w:t>
      </w:r>
      <w:r w:rsidR="005C5432" w:rsidRPr="00F96419">
        <w:rPr>
          <w:i/>
        </w:rPr>
        <w:t xml:space="preserve">in </w:t>
      </w:r>
      <w:proofErr w:type="spellStart"/>
      <w:r w:rsidR="005C5432" w:rsidRPr="00F96419">
        <w:rPr>
          <w:i/>
        </w:rPr>
        <w:t>vacuo</w:t>
      </w:r>
      <w:proofErr w:type="spellEnd"/>
      <w:r w:rsidR="005C5432" w:rsidRPr="00F96419">
        <w:t xml:space="preserve"> </w:t>
      </w:r>
      <w:r w:rsidR="00467D84" w:rsidRPr="00F96419">
        <w:t xml:space="preserve">under mild heating (65 </w:t>
      </w:r>
      <w:r w:rsidR="00467D84" w:rsidRPr="00F96419">
        <w:rPr>
          <w:rFonts w:ascii="Calibri" w:hAnsi="Calibri" w:cs="Calibri"/>
        </w:rPr>
        <w:t>°</w:t>
      </w:r>
      <w:r w:rsidR="00467D84" w:rsidRPr="00F96419">
        <w:t xml:space="preserve">C) </w:t>
      </w:r>
      <w:r w:rsidR="005C5432" w:rsidRPr="00F96419">
        <w:t xml:space="preserve">and the crude </w:t>
      </w:r>
      <w:r w:rsidR="00467D84" w:rsidRPr="00F96419">
        <w:t xml:space="preserve">isolated </w:t>
      </w:r>
      <w:r w:rsidR="005C5432" w:rsidRPr="00F96419">
        <w:t>polymer analysed by NMR spectroscopy (CDCl</w:t>
      </w:r>
      <w:r w:rsidR="005C5432" w:rsidRPr="00F96419">
        <w:rPr>
          <w:vertAlign w:val="subscript"/>
        </w:rPr>
        <w:t>3</w:t>
      </w:r>
      <w:r w:rsidR="005C5432" w:rsidRPr="00F96419">
        <w:t xml:space="preserve"> solvent).</w:t>
      </w:r>
      <w:r w:rsidR="00B3192C" w:rsidRPr="00F96419">
        <w:t xml:space="preserve"> NMR spectra for isolated polyesters are shown in Figures S13 and S14.</w:t>
      </w:r>
    </w:p>
    <w:p w14:paraId="500F1389" w14:textId="0D56B67F" w:rsidR="00C452C4" w:rsidRPr="00C452C4" w:rsidRDefault="00C452C4" w:rsidP="00C452C4">
      <w:pPr>
        <w:pStyle w:val="ExperimentalSection"/>
        <w:rPr>
          <w:bCs/>
          <w:i/>
          <w:iCs/>
        </w:rPr>
      </w:pPr>
      <w:r w:rsidRPr="00C452C4">
        <w:rPr>
          <w:bCs/>
          <w:i/>
          <w:iCs/>
        </w:rPr>
        <w:t>Preparation and characterisation of 2-(</w:t>
      </w:r>
      <w:proofErr w:type="spellStart"/>
      <w:r w:rsidRPr="00C452C4">
        <w:rPr>
          <w:bCs/>
          <w:i/>
          <w:iCs/>
        </w:rPr>
        <w:t>diethylaminomethyl</w:t>
      </w:r>
      <w:proofErr w:type="spellEnd"/>
      <w:r w:rsidRPr="00C452C4">
        <w:rPr>
          <w:bCs/>
          <w:i/>
          <w:iCs/>
        </w:rPr>
        <w:t xml:space="preserve">)-dimethyl succinate) </w:t>
      </w:r>
      <w:bookmarkEnd w:id="4"/>
      <w:r w:rsidRPr="00C452C4">
        <w:rPr>
          <w:bCs/>
          <w:i/>
          <w:iCs/>
        </w:rPr>
        <w:t>(</w:t>
      </w:r>
      <w:r w:rsidRPr="00C452C4">
        <w:rPr>
          <w:b/>
          <w:bCs/>
          <w:i/>
          <w:iCs/>
        </w:rPr>
        <w:t>3</w:t>
      </w:r>
      <w:r w:rsidRPr="00C452C4">
        <w:rPr>
          <w:bCs/>
          <w:i/>
          <w:iCs/>
        </w:rPr>
        <w:t>)</w:t>
      </w:r>
      <w:r>
        <w:rPr>
          <w:bCs/>
          <w:i/>
          <w:iCs/>
        </w:rPr>
        <w:t xml:space="preserve">. </w:t>
      </w:r>
      <w:r w:rsidRPr="00C452C4">
        <w:t xml:space="preserve">Dimethyl </w:t>
      </w:r>
      <w:proofErr w:type="spellStart"/>
      <w:r w:rsidRPr="00C452C4">
        <w:t>itaconate</w:t>
      </w:r>
      <w:proofErr w:type="spellEnd"/>
      <w:r w:rsidRPr="00C452C4">
        <w:t xml:space="preserve"> (4.7 g, 30 </w:t>
      </w:r>
      <w:proofErr w:type="spellStart"/>
      <w:r w:rsidRPr="00C452C4">
        <w:t>mmol</w:t>
      </w:r>
      <w:proofErr w:type="spellEnd"/>
      <w:r w:rsidRPr="00C452C4">
        <w:t xml:space="preserve">) was dissolved in </w:t>
      </w:r>
      <w:proofErr w:type="spellStart"/>
      <w:r w:rsidRPr="00C452C4">
        <w:t>diethylamine</w:t>
      </w:r>
      <w:proofErr w:type="spellEnd"/>
      <w:r w:rsidRPr="00C452C4">
        <w:t xml:space="preserve"> (15.5 ml, 150 </w:t>
      </w:r>
      <w:proofErr w:type="spellStart"/>
      <w:r w:rsidRPr="00C452C4">
        <w:t>mmol</w:t>
      </w:r>
      <w:proofErr w:type="spellEnd"/>
      <w:r w:rsidRPr="00C452C4">
        <w:t xml:space="preserve">) and stirred at room temperature for 5 days with completion of reaction confirmed by GC analysis. Excess </w:t>
      </w:r>
      <w:proofErr w:type="spellStart"/>
      <w:r w:rsidRPr="00C452C4">
        <w:t>diethylamine</w:t>
      </w:r>
      <w:proofErr w:type="spellEnd"/>
      <w:r w:rsidRPr="00C452C4">
        <w:t xml:space="preserve"> was removed </w:t>
      </w:r>
      <w:r w:rsidRPr="00C452C4">
        <w:rPr>
          <w:i/>
        </w:rPr>
        <w:t xml:space="preserve">in </w:t>
      </w:r>
      <w:proofErr w:type="spellStart"/>
      <w:r w:rsidRPr="00C452C4">
        <w:rPr>
          <w:i/>
        </w:rPr>
        <w:t>vacuo</w:t>
      </w:r>
      <w:proofErr w:type="spellEnd"/>
      <w:r w:rsidRPr="00C452C4">
        <w:rPr>
          <w:i/>
        </w:rPr>
        <w:t xml:space="preserve"> </w:t>
      </w:r>
      <w:r w:rsidRPr="00C452C4">
        <w:t xml:space="preserve">affording the desired product, compound </w:t>
      </w:r>
      <w:r w:rsidRPr="00C452C4">
        <w:rPr>
          <w:b/>
        </w:rPr>
        <w:t>3</w:t>
      </w:r>
      <w:r w:rsidRPr="00C452C4">
        <w:t xml:space="preserve"> (2-(</w:t>
      </w:r>
      <w:proofErr w:type="spellStart"/>
      <w:r w:rsidRPr="00C452C4">
        <w:t>diethylaminomethyl</w:t>
      </w:r>
      <w:proofErr w:type="spellEnd"/>
      <w:r w:rsidRPr="00C452C4">
        <w:t xml:space="preserve">)-dimethyl succinate), as a light brown slightly viscous liquid (6.7 g, 94%); </w:t>
      </w:r>
      <w:proofErr w:type="spellStart"/>
      <w:r w:rsidRPr="00C452C4">
        <w:t>diethylamine</w:t>
      </w:r>
      <w:proofErr w:type="spellEnd"/>
      <w:r w:rsidRPr="00C452C4">
        <w:t xml:space="preserve"> loss was observed on heating to temperatures greater </w:t>
      </w:r>
      <w:proofErr w:type="spellStart"/>
      <w:r w:rsidRPr="00C452C4">
        <w:t>then</w:t>
      </w:r>
      <w:proofErr w:type="spellEnd"/>
      <w:r w:rsidRPr="00C452C4">
        <w:t xml:space="preserve"> 80˚C; </w:t>
      </w:r>
      <w:r w:rsidRPr="00C452C4">
        <w:rPr>
          <w:vertAlign w:val="superscript"/>
        </w:rPr>
        <w:t>1</w:t>
      </w:r>
      <w:r w:rsidRPr="00C452C4">
        <w:t>H-NMR (400 MHz, CDCl</w:t>
      </w:r>
      <w:r w:rsidRPr="00C452C4">
        <w:rPr>
          <w:vertAlign w:val="subscript"/>
        </w:rPr>
        <w:t>3</w:t>
      </w:r>
      <w:r w:rsidRPr="00C452C4">
        <w:t xml:space="preserve">, </w:t>
      </w:r>
      <w:proofErr w:type="spellStart"/>
      <w:r w:rsidRPr="00C452C4">
        <w:t>δ</w:t>
      </w:r>
      <w:r w:rsidRPr="00C452C4">
        <w:rPr>
          <w:vertAlign w:val="subscript"/>
        </w:rPr>
        <w:t>H</w:t>
      </w:r>
      <w:proofErr w:type="spellEnd"/>
      <w:r w:rsidRPr="00C452C4">
        <w:t xml:space="preserve">, ppm)  0.90 (6H, t, </w:t>
      </w:r>
      <w:r w:rsidRPr="00C452C4">
        <w:rPr>
          <w:vertAlign w:val="superscript"/>
        </w:rPr>
        <w:t>3</w:t>
      </w:r>
      <w:r w:rsidRPr="00C452C4">
        <w:rPr>
          <w:i/>
        </w:rPr>
        <w:t>J</w:t>
      </w:r>
      <w:r w:rsidRPr="00C452C4">
        <w:t xml:space="preserve"> = 8.9 Hz, N(CH</w:t>
      </w:r>
      <w:r w:rsidRPr="00C452C4">
        <w:rPr>
          <w:vertAlign w:val="subscript"/>
        </w:rPr>
        <w:t>2</w:t>
      </w:r>
      <w:r w:rsidRPr="00C452C4">
        <w:t>C</w:t>
      </w:r>
      <w:r w:rsidRPr="00C452C4">
        <w:rPr>
          <w:i/>
        </w:rPr>
        <w:t>H</w:t>
      </w:r>
      <w:r w:rsidRPr="00C452C4">
        <w:rPr>
          <w:i/>
          <w:vertAlign w:val="subscript"/>
        </w:rPr>
        <w:t>3</w:t>
      </w:r>
      <w:r w:rsidRPr="00C452C4">
        <w:t>)</w:t>
      </w:r>
      <w:r w:rsidRPr="00C452C4">
        <w:rPr>
          <w:vertAlign w:val="subscript"/>
        </w:rPr>
        <w:t>2</w:t>
      </w:r>
      <w:r w:rsidRPr="00C452C4">
        <w:t>), 2.41 (6H, m, N(C</w:t>
      </w:r>
      <w:r w:rsidRPr="00C452C4">
        <w:rPr>
          <w:i/>
        </w:rPr>
        <w:t>H</w:t>
      </w:r>
      <w:r w:rsidRPr="00C452C4">
        <w:rPr>
          <w:i/>
          <w:vertAlign w:val="subscript"/>
        </w:rPr>
        <w:t>2</w:t>
      </w:r>
      <w:r w:rsidRPr="00C452C4">
        <w:t>CH</w:t>
      </w:r>
      <w:r w:rsidRPr="00C452C4">
        <w:rPr>
          <w:vertAlign w:val="subscript"/>
        </w:rPr>
        <w:t>3</w:t>
      </w:r>
      <w:r w:rsidRPr="00C452C4">
        <w:t>)</w:t>
      </w:r>
      <w:r w:rsidRPr="00C452C4">
        <w:rPr>
          <w:vertAlign w:val="subscript"/>
        </w:rPr>
        <w:t>2</w:t>
      </w:r>
      <w:r w:rsidRPr="00C452C4">
        <w:t xml:space="preserve"> and </w:t>
      </w:r>
      <w:r w:rsidRPr="00C452C4">
        <w:lastRenderedPageBreak/>
        <w:t>CHC</w:t>
      </w:r>
      <w:r w:rsidRPr="00C452C4">
        <w:rPr>
          <w:i/>
        </w:rPr>
        <w:t>H</w:t>
      </w:r>
      <w:r w:rsidRPr="00C452C4">
        <w:rPr>
          <w:i/>
          <w:vertAlign w:val="subscript"/>
        </w:rPr>
        <w:t>2</w:t>
      </w:r>
      <w:r w:rsidRPr="00C452C4">
        <w:t>CO</w:t>
      </w:r>
      <w:r w:rsidRPr="00C452C4">
        <w:rPr>
          <w:vertAlign w:val="subscript"/>
        </w:rPr>
        <w:t>2</w:t>
      </w:r>
      <w:r w:rsidRPr="00C452C4">
        <w:t>CH</w:t>
      </w:r>
      <w:r w:rsidRPr="00C452C4">
        <w:rPr>
          <w:vertAlign w:val="subscript"/>
        </w:rPr>
        <w:t>3</w:t>
      </w:r>
      <w:r w:rsidRPr="00C452C4">
        <w:t xml:space="preserve">),), 2.57 (2H, d, </w:t>
      </w:r>
      <w:r w:rsidRPr="00C452C4">
        <w:rPr>
          <w:vertAlign w:val="superscript"/>
        </w:rPr>
        <w:t>3</w:t>
      </w:r>
      <w:r w:rsidRPr="00C452C4">
        <w:rPr>
          <w:i/>
        </w:rPr>
        <w:t>J</w:t>
      </w:r>
      <w:r w:rsidRPr="00C452C4">
        <w:t xml:space="preserve"> = 7.0 Hz,  CHC</w:t>
      </w:r>
      <w:r w:rsidRPr="00C452C4">
        <w:rPr>
          <w:i/>
        </w:rPr>
        <w:t>H</w:t>
      </w:r>
      <w:r w:rsidRPr="00C452C4">
        <w:rPr>
          <w:i/>
          <w:vertAlign w:val="subscript"/>
        </w:rPr>
        <w:t>2</w:t>
      </w:r>
      <w:r w:rsidRPr="00C452C4">
        <w:t>N(CH</w:t>
      </w:r>
      <w:r w:rsidRPr="00C452C4">
        <w:rPr>
          <w:vertAlign w:val="subscript"/>
        </w:rPr>
        <w:t>2</w:t>
      </w:r>
      <w:r w:rsidRPr="00C452C4">
        <w:t>CH</w:t>
      </w:r>
      <w:r w:rsidRPr="00C452C4">
        <w:rPr>
          <w:vertAlign w:val="subscript"/>
        </w:rPr>
        <w:t>3</w:t>
      </w:r>
      <w:r w:rsidRPr="00C452C4">
        <w:t>)</w:t>
      </w:r>
      <w:r w:rsidRPr="00C452C4">
        <w:rPr>
          <w:vertAlign w:val="subscript"/>
        </w:rPr>
        <w:t>2</w:t>
      </w:r>
      <w:r w:rsidRPr="00C452C4">
        <w:t xml:space="preserve">), 2.96 (1H, </w:t>
      </w:r>
      <w:proofErr w:type="spellStart"/>
      <w:r w:rsidRPr="00C452C4">
        <w:t>dq</w:t>
      </w:r>
      <w:proofErr w:type="spellEnd"/>
      <w:r w:rsidRPr="00C452C4">
        <w:t xml:space="preserve">, </w:t>
      </w:r>
      <w:r w:rsidRPr="00C452C4">
        <w:rPr>
          <w:vertAlign w:val="superscript"/>
        </w:rPr>
        <w:t>3</w:t>
      </w:r>
      <w:r w:rsidRPr="00C452C4">
        <w:rPr>
          <w:i/>
        </w:rPr>
        <w:t>J</w:t>
      </w:r>
      <w:r w:rsidRPr="00C452C4">
        <w:t xml:space="preserve"> = 8.5 and 7.0 Hz, C</w:t>
      </w:r>
      <w:r w:rsidRPr="00C452C4">
        <w:rPr>
          <w:i/>
        </w:rPr>
        <w:t>H</w:t>
      </w:r>
      <w:r w:rsidRPr="00C452C4">
        <w:t>CH</w:t>
      </w:r>
      <w:r w:rsidRPr="00C452C4">
        <w:rPr>
          <w:vertAlign w:val="subscript"/>
        </w:rPr>
        <w:t>2</w:t>
      </w:r>
      <w:r w:rsidRPr="00C452C4">
        <w:t>CO</w:t>
      </w:r>
      <w:r w:rsidRPr="00C452C4">
        <w:rPr>
          <w:vertAlign w:val="subscript"/>
        </w:rPr>
        <w:t>2</w:t>
      </w:r>
      <w:r w:rsidRPr="00C452C4">
        <w:t>CH</w:t>
      </w:r>
      <w:r w:rsidRPr="00C452C4">
        <w:rPr>
          <w:vertAlign w:val="subscript"/>
        </w:rPr>
        <w:t>3</w:t>
      </w:r>
      <w:r w:rsidRPr="00C452C4">
        <w:t>), 3.60 (3H, s, CO</w:t>
      </w:r>
      <w:r w:rsidRPr="00C452C4">
        <w:rPr>
          <w:vertAlign w:val="subscript"/>
        </w:rPr>
        <w:t>2</w:t>
      </w:r>
      <w:r w:rsidRPr="00C452C4">
        <w:t>C</w:t>
      </w:r>
      <w:r w:rsidRPr="00C452C4">
        <w:rPr>
          <w:i/>
        </w:rPr>
        <w:t>H</w:t>
      </w:r>
      <w:r w:rsidRPr="00C452C4">
        <w:rPr>
          <w:i/>
          <w:vertAlign w:val="subscript"/>
        </w:rPr>
        <w:t>3</w:t>
      </w:r>
      <w:r w:rsidRPr="00C452C4">
        <w:t>), 3.62 (3H, s, CO</w:t>
      </w:r>
      <w:r w:rsidRPr="00C452C4">
        <w:rPr>
          <w:vertAlign w:val="subscript"/>
        </w:rPr>
        <w:t>2</w:t>
      </w:r>
      <w:r w:rsidRPr="00C452C4">
        <w:t>C</w:t>
      </w:r>
      <w:r w:rsidRPr="00C452C4">
        <w:rPr>
          <w:i/>
        </w:rPr>
        <w:t>H</w:t>
      </w:r>
      <w:r w:rsidRPr="00C452C4">
        <w:rPr>
          <w:i/>
          <w:vertAlign w:val="subscript"/>
        </w:rPr>
        <w:t>3</w:t>
      </w:r>
      <w:r w:rsidRPr="00C452C4">
        <w:t xml:space="preserve">); </w:t>
      </w:r>
      <w:r w:rsidRPr="00C452C4">
        <w:rPr>
          <w:vertAlign w:val="superscript"/>
        </w:rPr>
        <w:t>13</w:t>
      </w:r>
      <w:r w:rsidRPr="00C452C4">
        <w:t>C-NMR (100 MHz, CDCl</w:t>
      </w:r>
      <w:r w:rsidRPr="00C452C4">
        <w:rPr>
          <w:vertAlign w:val="subscript"/>
        </w:rPr>
        <w:t>3</w:t>
      </w:r>
      <w:r w:rsidRPr="00C452C4">
        <w:t xml:space="preserve">, </w:t>
      </w:r>
      <w:proofErr w:type="spellStart"/>
      <w:r w:rsidRPr="00C452C4">
        <w:t>δ</w:t>
      </w:r>
      <w:r w:rsidRPr="00C452C4">
        <w:rPr>
          <w:vertAlign w:val="subscript"/>
        </w:rPr>
        <w:t>C</w:t>
      </w:r>
      <w:proofErr w:type="spellEnd"/>
      <w:r w:rsidRPr="00C452C4">
        <w:t>, ppm) 11.9 (2C, N(CH</w:t>
      </w:r>
      <w:r w:rsidRPr="00C452C4">
        <w:rPr>
          <w:vertAlign w:val="subscript"/>
        </w:rPr>
        <w:t>2</w:t>
      </w:r>
      <w:r w:rsidRPr="00C452C4">
        <w:rPr>
          <w:i/>
        </w:rPr>
        <w:t>C</w:t>
      </w:r>
      <w:r w:rsidRPr="00C452C4">
        <w:t>H</w:t>
      </w:r>
      <w:r w:rsidRPr="00C452C4">
        <w:rPr>
          <w:vertAlign w:val="subscript"/>
        </w:rPr>
        <w:t>3</w:t>
      </w:r>
      <w:r w:rsidRPr="00C452C4">
        <w:t>)</w:t>
      </w:r>
      <w:r w:rsidRPr="00C452C4">
        <w:rPr>
          <w:vertAlign w:val="subscript"/>
        </w:rPr>
        <w:t>2</w:t>
      </w:r>
      <w:r w:rsidRPr="00C452C4">
        <w:t>), 34.3 (CH</w:t>
      </w:r>
      <w:r w:rsidRPr="00C452C4">
        <w:rPr>
          <w:i/>
        </w:rPr>
        <w:t>C</w:t>
      </w:r>
      <w:r w:rsidRPr="00C452C4">
        <w:t>H</w:t>
      </w:r>
      <w:r w:rsidRPr="00C452C4">
        <w:rPr>
          <w:vertAlign w:val="subscript"/>
        </w:rPr>
        <w:t>2</w:t>
      </w:r>
      <w:r w:rsidRPr="00C452C4">
        <w:t>CO</w:t>
      </w:r>
      <w:r w:rsidRPr="00C452C4">
        <w:rPr>
          <w:vertAlign w:val="subscript"/>
        </w:rPr>
        <w:t>2</w:t>
      </w:r>
      <w:r w:rsidRPr="00C452C4">
        <w:t>CH</w:t>
      </w:r>
      <w:r w:rsidRPr="00C452C4">
        <w:rPr>
          <w:vertAlign w:val="subscript"/>
        </w:rPr>
        <w:t>3</w:t>
      </w:r>
      <w:r w:rsidRPr="00C452C4">
        <w:t>), 40.9 (</w:t>
      </w:r>
      <w:r w:rsidRPr="00C452C4">
        <w:rPr>
          <w:i/>
        </w:rPr>
        <w:t>C</w:t>
      </w:r>
      <w:r w:rsidRPr="00C452C4">
        <w:t>HCH</w:t>
      </w:r>
      <w:r w:rsidRPr="00C452C4">
        <w:rPr>
          <w:vertAlign w:val="subscript"/>
        </w:rPr>
        <w:t>2</w:t>
      </w:r>
      <w:r w:rsidRPr="00C452C4">
        <w:t>CO</w:t>
      </w:r>
      <w:r w:rsidRPr="00C452C4">
        <w:rPr>
          <w:vertAlign w:val="subscript"/>
        </w:rPr>
        <w:t>2</w:t>
      </w:r>
      <w:r w:rsidRPr="00C452C4">
        <w:t>CH</w:t>
      </w:r>
      <w:r w:rsidRPr="00C452C4">
        <w:rPr>
          <w:vertAlign w:val="subscript"/>
        </w:rPr>
        <w:t>3</w:t>
      </w:r>
      <w:r w:rsidRPr="00C452C4">
        <w:t>), 47.1 (2C, N(</w:t>
      </w:r>
      <w:r w:rsidRPr="00C452C4">
        <w:rPr>
          <w:i/>
        </w:rPr>
        <w:t>C</w:t>
      </w:r>
      <w:r w:rsidRPr="00C452C4">
        <w:t>H</w:t>
      </w:r>
      <w:r w:rsidRPr="00C452C4">
        <w:rPr>
          <w:vertAlign w:val="subscript"/>
        </w:rPr>
        <w:t>2</w:t>
      </w:r>
      <w:r w:rsidRPr="00C452C4">
        <w:t>CH</w:t>
      </w:r>
      <w:r w:rsidRPr="00C452C4">
        <w:rPr>
          <w:vertAlign w:val="subscript"/>
        </w:rPr>
        <w:t>3</w:t>
      </w:r>
      <w:r w:rsidRPr="00C452C4">
        <w:t>)</w:t>
      </w:r>
      <w:r w:rsidRPr="00C452C4">
        <w:rPr>
          <w:vertAlign w:val="subscript"/>
        </w:rPr>
        <w:t>2</w:t>
      </w:r>
      <w:r w:rsidRPr="00C452C4">
        <w:t>), 51.7 (CO</w:t>
      </w:r>
      <w:r w:rsidRPr="00C452C4">
        <w:rPr>
          <w:vertAlign w:val="subscript"/>
        </w:rPr>
        <w:t>2</w:t>
      </w:r>
      <w:r w:rsidRPr="00C452C4">
        <w:rPr>
          <w:i/>
        </w:rPr>
        <w:t>C</w:t>
      </w:r>
      <w:r w:rsidRPr="00C452C4">
        <w:t>H</w:t>
      </w:r>
      <w:r w:rsidRPr="00C452C4">
        <w:rPr>
          <w:vertAlign w:val="subscript"/>
        </w:rPr>
        <w:t>3</w:t>
      </w:r>
      <w:r w:rsidRPr="00C452C4">
        <w:t>), 51.8 (CO</w:t>
      </w:r>
      <w:r w:rsidRPr="00C452C4">
        <w:rPr>
          <w:vertAlign w:val="subscript"/>
        </w:rPr>
        <w:t>2</w:t>
      </w:r>
      <w:r w:rsidRPr="00C452C4">
        <w:rPr>
          <w:i/>
        </w:rPr>
        <w:t>C</w:t>
      </w:r>
      <w:r w:rsidRPr="00C452C4">
        <w:t>H</w:t>
      </w:r>
      <w:r w:rsidRPr="00C452C4">
        <w:rPr>
          <w:vertAlign w:val="subscript"/>
        </w:rPr>
        <w:t>3</w:t>
      </w:r>
      <w:r w:rsidRPr="00C452C4">
        <w:t>),  54.7 (CH</w:t>
      </w:r>
      <w:r w:rsidRPr="00C452C4">
        <w:rPr>
          <w:i/>
        </w:rPr>
        <w:t>C</w:t>
      </w:r>
      <w:r w:rsidRPr="00C452C4">
        <w:t>H</w:t>
      </w:r>
      <w:r w:rsidRPr="00C452C4">
        <w:rPr>
          <w:vertAlign w:val="subscript"/>
        </w:rPr>
        <w:t>2</w:t>
      </w:r>
      <w:r w:rsidRPr="00C452C4">
        <w:t>N(CH</w:t>
      </w:r>
      <w:r w:rsidRPr="00C452C4">
        <w:rPr>
          <w:vertAlign w:val="subscript"/>
        </w:rPr>
        <w:t>2</w:t>
      </w:r>
      <w:r w:rsidRPr="00C452C4">
        <w:t>CH</w:t>
      </w:r>
      <w:r w:rsidRPr="00C452C4">
        <w:rPr>
          <w:vertAlign w:val="subscript"/>
        </w:rPr>
        <w:t>3</w:t>
      </w:r>
      <w:r w:rsidRPr="00C452C4">
        <w:t>)</w:t>
      </w:r>
      <w:r w:rsidRPr="00C452C4">
        <w:rPr>
          <w:vertAlign w:val="subscript"/>
        </w:rPr>
        <w:t>2</w:t>
      </w:r>
      <w:r w:rsidRPr="00C452C4">
        <w:t>), 172.8 (</w:t>
      </w:r>
      <w:r w:rsidRPr="00C452C4">
        <w:rPr>
          <w:i/>
        </w:rPr>
        <w:t>C</w:t>
      </w:r>
      <w:r w:rsidRPr="00C452C4">
        <w:t>O</w:t>
      </w:r>
      <w:r w:rsidRPr="00C452C4">
        <w:rPr>
          <w:vertAlign w:val="subscript"/>
        </w:rPr>
        <w:t>2</w:t>
      </w:r>
      <w:r w:rsidRPr="00C452C4">
        <w:t>CH</w:t>
      </w:r>
      <w:r w:rsidRPr="00C452C4">
        <w:rPr>
          <w:vertAlign w:val="subscript"/>
        </w:rPr>
        <w:t>3</w:t>
      </w:r>
      <w:r w:rsidRPr="00C452C4">
        <w:t>), 174.8 (</w:t>
      </w:r>
      <w:r w:rsidRPr="00C452C4">
        <w:rPr>
          <w:i/>
        </w:rPr>
        <w:t>C</w:t>
      </w:r>
      <w:r w:rsidRPr="00C452C4">
        <w:t>O</w:t>
      </w:r>
      <w:r w:rsidRPr="00C452C4">
        <w:rPr>
          <w:vertAlign w:val="subscript"/>
        </w:rPr>
        <w:t>2</w:t>
      </w:r>
      <w:r w:rsidRPr="00C452C4">
        <w:t>CH</w:t>
      </w:r>
      <w:r w:rsidRPr="00C452C4">
        <w:rPr>
          <w:vertAlign w:val="subscript"/>
        </w:rPr>
        <w:t>3</w:t>
      </w:r>
      <w:r w:rsidRPr="00C452C4">
        <w:t>); EI-MS, 231 (molecular ion), 216, 200, 170, 159, 142, 127, 112, 99, 86 (100); EI-MS accurate mass, 231.1466 (231.1471 calc. for C</w:t>
      </w:r>
      <w:r w:rsidRPr="00C452C4">
        <w:rPr>
          <w:vertAlign w:val="subscript"/>
        </w:rPr>
        <w:t>11</w:t>
      </w:r>
      <w:r w:rsidRPr="00C452C4">
        <w:t>H</w:t>
      </w:r>
      <w:r w:rsidRPr="00C452C4">
        <w:rPr>
          <w:vertAlign w:val="subscript"/>
        </w:rPr>
        <w:t>21</w:t>
      </w:r>
      <w:r w:rsidRPr="00C452C4">
        <w:t>NO</w:t>
      </w:r>
      <w:r w:rsidRPr="00C452C4">
        <w:rPr>
          <w:vertAlign w:val="subscript"/>
        </w:rPr>
        <w:t>4</w:t>
      </w:r>
      <w:r w:rsidRPr="00C452C4">
        <w:t>); IR (ν, cm</w:t>
      </w:r>
      <w:r w:rsidRPr="00C452C4">
        <w:rPr>
          <w:vertAlign w:val="superscript"/>
        </w:rPr>
        <w:t>-1</w:t>
      </w:r>
      <w:r w:rsidRPr="00C452C4">
        <w:t>), 2970 (C-H), 2808 (C-H), 1733 (C=O, ester), 1436 (H-C-H).</w:t>
      </w:r>
    </w:p>
    <w:p w14:paraId="181F30F6" w14:textId="0B861FF5" w:rsidR="00C452C4" w:rsidRPr="00C452C4" w:rsidRDefault="00C452C4" w:rsidP="00C452C4">
      <w:pPr>
        <w:pStyle w:val="ExperimentalSection"/>
        <w:rPr>
          <w:bCs/>
          <w:i/>
          <w:iCs/>
        </w:rPr>
      </w:pPr>
      <w:bookmarkStart w:id="5" w:name="_Ref234171764"/>
      <w:r w:rsidRPr="00C452C4">
        <w:rPr>
          <w:bCs/>
          <w:i/>
          <w:iCs/>
        </w:rPr>
        <w:t xml:space="preserve">Preparation of the mixture dimethyl </w:t>
      </w:r>
      <w:proofErr w:type="spellStart"/>
      <w:proofErr w:type="gramStart"/>
      <w:r w:rsidRPr="00C452C4">
        <w:rPr>
          <w:bCs/>
          <w:i/>
          <w:iCs/>
        </w:rPr>
        <w:t>mesaconate</w:t>
      </w:r>
      <w:proofErr w:type="spellEnd"/>
      <w:r w:rsidRPr="00C452C4">
        <w:rPr>
          <w:bCs/>
          <w:i/>
          <w:iCs/>
        </w:rPr>
        <w:t xml:space="preserve"> :</w:t>
      </w:r>
      <w:proofErr w:type="gramEnd"/>
      <w:r w:rsidRPr="00C452C4">
        <w:rPr>
          <w:bCs/>
          <w:i/>
          <w:iCs/>
        </w:rPr>
        <w:t xml:space="preserve"> dimethyl </w:t>
      </w:r>
      <w:proofErr w:type="spellStart"/>
      <w:r w:rsidRPr="00C452C4">
        <w:rPr>
          <w:bCs/>
          <w:i/>
          <w:iCs/>
        </w:rPr>
        <w:t>itaconate</w:t>
      </w:r>
      <w:proofErr w:type="spellEnd"/>
      <w:r w:rsidRPr="00C452C4">
        <w:rPr>
          <w:bCs/>
          <w:i/>
          <w:iCs/>
        </w:rPr>
        <w:t xml:space="preserve"> : dimethyl </w:t>
      </w:r>
      <w:proofErr w:type="spellStart"/>
      <w:r w:rsidRPr="00C452C4">
        <w:rPr>
          <w:bCs/>
          <w:i/>
          <w:iCs/>
        </w:rPr>
        <w:t>citraconate</w:t>
      </w:r>
      <w:proofErr w:type="spellEnd"/>
      <w:r w:rsidRPr="00C452C4">
        <w:rPr>
          <w:bCs/>
          <w:i/>
          <w:iCs/>
        </w:rPr>
        <w:t xml:space="preserve"> (3:1 </w:t>
      </w:r>
      <w:r w:rsidRPr="00C452C4">
        <w:rPr>
          <w:b/>
          <w:bCs/>
          <w:i/>
          <w:iCs/>
        </w:rPr>
        <w:t>4</w:t>
      </w:r>
      <w:r w:rsidRPr="00C452C4">
        <w:rPr>
          <w:bCs/>
          <w:i/>
          <w:iCs/>
        </w:rPr>
        <w:t>:DMI)</w:t>
      </w:r>
      <w:bookmarkStart w:id="6" w:name="OLE_LINK3"/>
      <w:bookmarkStart w:id="7" w:name="OLE_LINK4"/>
      <w:bookmarkEnd w:id="5"/>
      <w:r>
        <w:rPr>
          <w:bCs/>
          <w:i/>
          <w:iCs/>
        </w:rPr>
        <w:t xml:space="preserve">. </w:t>
      </w:r>
      <w:r w:rsidRPr="00C452C4">
        <w:t xml:space="preserve">Dimethyl </w:t>
      </w:r>
      <w:proofErr w:type="spellStart"/>
      <w:r w:rsidRPr="00C452C4">
        <w:t>itaconate</w:t>
      </w:r>
      <w:proofErr w:type="spellEnd"/>
      <w:r w:rsidRPr="00C452C4">
        <w:t xml:space="preserve"> (3.16 g, 0.02 moles) was dissolved in triethylamine (11.1 ml, 0.08 moles) and refluxed at 89 ˚C for 24 hours, with the extent of isomerisation determined by GC-FID and NMR analysis. Triethylamine was removed </w:t>
      </w:r>
      <w:r w:rsidRPr="00C452C4">
        <w:rPr>
          <w:i/>
        </w:rPr>
        <w:t xml:space="preserve">in </w:t>
      </w:r>
      <w:proofErr w:type="spellStart"/>
      <w:r w:rsidRPr="00C452C4">
        <w:rPr>
          <w:i/>
        </w:rPr>
        <w:t>vacuo</w:t>
      </w:r>
      <w:proofErr w:type="spellEnd"/>
      <w:r w:rsidRPr="00C452C4">
        <w:rPr>
          <w:i/>
        </w:rPr>
        <w:t xml:space="preserve"> </w:t>
      </w:r>
      <w:r w:rsidRPr="00C452C4">
        <w:t xml:space="preserve">affording a light brown product mixture with a </w:t>
      </w:r>
      <w:proofErr w:type="spellStart"/>
      <w:r w:rsidRPr="00C452C4">
        <w:t>DMMes:DMI:DMCit</w:t>
      </w:r>
      <w:proofErr w:type="spellEnd"/>
      <w:r w:rsidRPr="00C452C4">
        <w:t xml:space="preserve"> of 3:1:negligable (3.01 g, 74% </w:t>
      </w:r>
      <w:proofErr w:type="spellStart"/>
      <w:r w:rsidRPr="00C452C4">
        <w:t>DMMes</w:t>
      </w:r>
      <w:proofErr w:type="spellEnd"/>
      <w:r w:rsidRPr="00C452C4">
        <w:t xml:space="preserve">); </w:t>
      </w:r>
      <w:r w:rsidRPr="00C452C4">
        <w:rPr>
          <w:vertAlign w:val="superscript"/>
        </w:rPr>
        <w:t>1</w:t>
      </w:r>
      <w:r w:rsidRPr="00C452C4">
        <w:t>H-NMR (400 MHz, CDCl</w:t>
      </w:r>
      <w:r w:rsidRPr="00C452C4">
        <w:rPr>
          <w:vertAlign w:val="subscript"/>
        </w:rPr>
        <w:t>3</w:t>
      </w:r>
      <w:r w:rsidRPr="00C452C4">
        <w:t xml:space="preserve">, </w:t>
      </w:r>
      <w:proofErr w:type="spellStart"/>
      <w:r w:rsidRPr="00C452C4">
        <w:t>δ</w:t>
      </w:r>
      <w:r w:rsidRPr="00C452C4">
        <w:rPr>
          <w:vertAlign w:val="subscript"/>
        </w:rPr>
        <w:t>H</w:t>
      </w:r>
      <w:proofErr w:type="spellEnd"/>
      <w:r w:rsidRPr="00C452C4">
        <w:t xml:space="preserve">, ppm, DMI subtracted from spectra): 2.10 (3H, d, </w:t>
      </w:r>
      <w:r w:rsidRPr="00C452C4">
        <w:rPr>
          <w:vertAlign w:val="superscript"/>
        </w:rPr>
        <w:t>4</w:t>
      </w:r>
      <w:r w:rsidRPr="00C452C4">
        <w:rPr>
          <w:i/>
        </w:rPr>
        <w:t>J</w:t>
      </w:r>
      <w:r w:rsidRPr="00C452C4">
        <w:t xml:space="preserve"> = 1.48 Hz, CH</w:t>
      </w:r>
      <w:r w:rsidRPr="00C452C4">
        <w:rPr>
          <w:vertAlign w:val="subscript"/>
        </w:rPr>
        <w:t>3</w:t>
      </w:r>
      <w:r w:rsidRPr="00C452C4">
        <w:t>CO</w:t>
      </w:r>
      <w:r w:rsidRPr="00C452C4">
        <w:rPr>
          <w:vertAlign w:val="subscript"/>
        </w:rPr>
        <w:t>3</w:t>
      </w:r>
      <w:r w:rsidRPr="00C452C4">
        <w:t>(C</w:t>
      </w:r>
      <w:r w:rsidRPr="00C452C4">
        <w:rPr>
          <w:i/>
        </w:rPr>
        <w:t>H</w:t>
      </w:r>
      <w:r w:rsidRPr="00C452C4">
        <w:rPr>
          <w:i/>
          <w:vertAlign w:val="subscript"/>
        </w:rPr>
        <w:t>3</w:t>
      </w:r>
      <w:r w:rsidRPr="00C452C4">
        <w:t>)C=CHCO</w:t>
      </w:r>
      <w:r w:rsidRPr="00C452C4">
        <w:rPr>
          <w:vertAlign w:val="subscript"/>
        </w:rPr>
        <w:t>2</w:t>
      </w:r>
      <w:r w:rsidRPr="00C452C4">
        <w:t>CH</w:t>
      </w:r>
      <w:r w:rsidRPr="00C452C4">
        <w:rPr>
          <w:vertAlign w:val="subscript"/>
        </w:rPr>
        <w:t>3</w:t>
      </w:r>
      <w:r w:rsidRPr="00C452C4">
        <w:t>), 3.58 (3H, s, CO</w:t>
      </w:r>
      <w:r w:rsidRPr="00C452C4">
        <w:rPr>
          <w:vertAlign w:val="subscript"/>
        </w:rPr>
        <w:t>2</w:t>
      </w:r>
      <w:r w:rsidRPr="00C452C4">
        <w:t>C</w:t>
      </w:r>
      <w:r w:rsidRPr="00C452C4">
        <w:rPr>
          <w:i/>
        </w:rPr>
        <w:t>H</w:t>
      </w:r>
      <w:r w:rsidRPr="00C452C4">
        <w:rPr>
          <w:i/>
          <w:vertAlign w:val="subscript"/>
        </w:rPr>
        <w:t>3</w:t>
      </w:r>
      <w:r w:rsidRPr="00C452C4">
        <w:t>), 3.62 (3H, s, CO</w:t>
      </w:r>
      <w:r w:rsidRPr="00C452C4">
        <w:rPr>
          <w:vertAlign w:val="subscript"/>
        </w:rPr>
        <w:t>2</w:t>
      </w:r>
      <w:r w:rsidRPr="00C452C4">
        <w:t>C</w:t>
      </w:r>
      <w:r w:rsidRPr="00C452C4">
        <w:rPr>
          <w:i/>
        </w:rPr>
        <w:t>H</w:t>
      </w:r>
      <w:r w:rsidRPr="00C452C4">
        <w:rPr>
          <w:i/>
          <w:vertAlign w:val="subscript"/>
        </w:rPr>
        <w:t>3</w:t>
      </w:r>
      <w:r w:rsidRPr="00C452C4">
        <w:t xml:space="preserve">),  6.58 (1H, q, </w:t>
      </w:r>
      <w:r w:rsidRPr="00C452C4">
        <w:rPr>
          <w:vertAlign w:val="superscript"/>
        </w:rPr>
        <w:t>4</w:t>
      </w:r>
      <w:r w:rsidRPr="00C452C4">
        <w:rPr>
          <w:i/>
        </w:rPr>
        <w:t>J</w:t>
      </w:r>
      <w:r w:rsidRPr="00C452C4">
        <w:t xml:space="preserve"> = 1.48 Hz CH</w:t>
      </w:r>
      <w:r w:rsidRPr="00C452C4">
        <w:rPr>
          <w:vertAlign w:val="subscript"/>
        </w:rPr>
        <w:t>3</w:t>
      </w:r>
      <w:r w:rsidRPr="00C452C4">
        <w:t>CO</w:t>
      </w:r>
      <w:r w:rsidRPr="00C452C4">
        <w:rPr>
          <w:vertAlign w:val="subscript"/>
        </w:rPr>
        <w:t>3</w:t>
      </w:r>
      <w:r w:rsidRPr="00C452C4">
        <w:t>(CH</w:t>
      </w:r>
      <w:r w:rsidRPr="00C452C4">
        <w:rPr>
          <w:vertAlign w:val="subscript"/>
        </w:rPr>
        <w:t>3</w:t>
      </w:r>
      <w:r w:rsidRPr="00C452C4">
        <w:t>)=C</w:t>
      </w:r>
      <w:r w:rsidRPr="00C452C4">
        <w:rPr>
          <w:i/>
        </w:rPr>
        <w:t>H</w:t>
      </w:r>
      <w:r w:rsidRPr="00C452C4">
        <w:t>CO</w:t>
      </w:r>
      <w:r w:rsidRPr="00C452C4">
        <w:rPr>
          <w:vertAlign w:val="subscript"/>
        </w:rPr>
        <w:t>2</w:t>
      </w:r>
      <w:r w:rsidRPr="00C452C4">
        <w:t>CH</w:t>
      </w:r>
      <w:r w:rsidRPr="00C452C4">
        <w:rPr>
          <w:vertAlign w:val="subscript"/>
        </w:rPr>
        <w:t>3</w:t>
      </w:r>
      <w:r w:rsidRPr="00C452C4">
        <w:t xml:space="preserve">); </w:t>
      </w:r>
      <w:r w:rsidRPr="00C452C4">
        <w:rPr>
          <w:vertAlign w:val="superscript"/>
        </w:rPr>
        <w:t>13</w:t>
      </w:r>
      <w:r w:rsidRPr="00C452C4">
        <w:t>C-NMR (100 MHz, CDCl</w:t>
      </w:r>
      <w:r w:rsidRPr="00C452C4">
        <w:rPr>
          <w:vertAlign w:val="subscript"/>
        </w:rPr>
        <w:t>3</w:t>
      </w:r>
      <w:r w:rsidRPr="00C452C4">
        <w:t xml:space="preserve">, </w:t>
      </w:r>
      <w:proofErr w:type="spellStart"/>
      <w:r w:rsidRPr="00C452C4">
        <w:t>δ</w:t>
      </w:r>
      <w:r w:rsidRPr="00C452C4">
        <w:rPr>
          <w:vertAlign w:val="subscript"/>
        </w:rPr>
        <w:t>C</w:t>
      </w:r>
      <w:proofErr w:type="spellEnd"/>
      <w:r w:rsidRPr="00C452C4">
        <w:t>, ppm): 13.8 (</w:t>
      </w:r>
      <w:r w:rsidRPr="00C452C4">
        <w:rPr>
          <w:i/>
        </w:rPr>
        <w:t>C</w:t>
      </w:r>
      <w:r w:rsidRPr="00C452C4">
        <w:t>H</w:t>
      </w:r>
      <w:r w:rsidRPr="00C452C4">
        <w:rPr>
          <w:vertAlign w:val="subscript"/>
        </w:rPr>
        <w:t>3</w:t>
      </w:r>
      <w:r w:rsidRPr="00C452C4">
        <w:t xml:space="preserve"> C=CHCO</w:t>
      </w:r>
      <w:r w:rsidRPr="00C452C4">
        <w:rPr>
          <w:vertAlign w:val="subscript"/>
        </w:rPr>
        <w:t>2</w:t>
      </w:r>
      <w:r w:rsidRPr="00C452C4">
        <w:t>CH</w:t>
      </w:r>
      <w:r w:rsidRPr="00C452C4">
        <w:rPr>
          <w:vertAlign w:val="subscript"/>
        </w:rPr>
        <w:t>3</w:t>
      </w:r>
      <w:r w:rsidRPr="00C452C4">
        <w:t>), 51.2 (CO</w:t>
      </w:r>
      <w:r w:rsidRPr="00C452C4">
        <w:rPr>
          <w:vertAlign w:val="subscript"/>
        </w:rPr>
        <w:t>2</w:t>
      </w:r>
      <w:r w:rsidRPr="00C452C4">
        <w:rPr>
          <w:i/>
        </w:rPr>
        <w:t>C</w:t>
      </w:r>
      <w:r w:rsidRPr="00C452C4">
        <w:t>H</w:t>
      </w:r>
      <w:r w:rsidRPr="00C452C4">
        <w:rPr>
          <w:vertAlign w:val="subscript"/>
        </w:rPr>
        <w:t>3</w:t>
      </w:r>
      <w:r w:rsidRPr="00C452C4">
        <w:t>), 52.1 (CO</w:t>
      </w:r>
      <w:r w:rsidRPr="00C452C4">
        <w:rPr>
          <w:vertAlign w:val="subscript"/>
        </w:rPr>
        <w:t>2</w:t>
      </w:r>
      <w:r w:rsidRPr="00C452C4">
        <w:rPr>
          <w:i/>
        </w:rPr>
        <w:t>C</w:t>
      </w:r>
      <w:r w:rsidRPr="00C452C4">
        <w:t>H</w:t>
      </w:r>
      <w:r w:rsidRPr="00C452C4">
        <w:rPr>
          <w:vertAlign w:val="subscript"/>
        </w:rPr>
        <w:t>3</w:t>
      </w:r>
      <w:r w:rsidRPr="00C452C4">
        <w:t>), 126.0 (CH</w:t>
      </w:r>
      <w:r w:rsidRPr="00C452C4">
        <w:rPr>
          <w:vertAlign w:val="subscript"/>
        </w:rPr>
        <w:t>3</w:t>
      </w:r>
      <w:r w:rsidRPr="00C452C4">
        <w:t>C=</w:t>
      </w:r>
      <w:r w:rsidRPr="00C452C4">
        <w:rPr>
          <w:i/>
        </w:rPr>
        <w:t>C</w:t>
      </w:r>
      <w:r w:rsidRPr="00C452C4">
        <w:t>HCO</w:t>
      </w:r>
      <w:r w:rsidRPr="00C452C4">
        <w:rPr>
          <w:vertAlign w:val="subscript"/>
        </w:rPr>
        <w:t>2</w:t>
      </w:r>
      <w:r w:rsidRPr="00C452C4">
        <w:t>CH</w:t>
      </w:r>
      <w:r w:rsidRPr="00C452C4">
        <w:rPr>
          <w:vertAlign w:val="subscript"/>
        </w:rPr>
        <w:t>3</w:t>
      </w:r>
      <w:r w:rsidRPr="00C452C4">
        <w:t>), 143.3 (CH</w:t>
      </w:r>
      <w:r w:rsidRPr="00C452C4">
        <w:rPr>
          <w:vertAlign w:val="subscript"/>
        </w:rPr>
        <w:t>3</w:t>
      </w:r>
      <w:r w:rsidRPr="00C452C4">
        <w:rPr>
          <w:i/>
        </w:rPr>
        <w:t>C</w:t>
      </w:r>
      <w:r w:rsidRPr="00C452C4">
        <w:t>=CHCO</w:t>
      </w:r>
      <w:r w:rsidRPr="00C452C4">
        <w:rPr>
          <w:vertAlign w:val="subscript"/>
        </w:rPr>
        <w:t>2</w:t>
      </w:r>
      <w:r w:rsidRPr="00C452C4">
        <w:t>CH</w:t>
      </w:r>
      <w:r w:rsidRPr="00C452C4">
        <w:rPr>
          <w:vertAlign w:val="subscript"/>
        </w:rPr>
        <w:t>3</w:t>
      </w:r>
      <w:r w:rsidRPr="00C452C4">
        <w:t>), 165.8 (</w:t>
      </w:r>
      <w:r w:rsidRPr="00C452C4">
        <w:rPr>
          <w:i/>
        </w:rPr>
        <w:t>C</w:t>
      </w:r>
      <w:r w:rsidRPr="00C452C4">
        <w:t>O</w:t>
      </w:r>
      <w:r w:rsidRPr="00C452C4">
        <w:rPr>
          <w:vertAlign w:val="subscript"/>
        </w:rPr>
        <w:t>2</w:t>
      </w:r>
      <w:r w:rsidRPr="00C452C4">
        <w:t>CH</w:t>
      </w:r>
      <w:r w:rsidRPr="00C452C4">
        <w:rPr>
          <w:vertAlign w:val="subscript"/>
        </w:rPr>
        <w:t>3</w:t>
      </w:r>
      <w:r w:rsidRPr="00C452C4">
        <w:t>), 167.0 (</w:t>
      </w:r>
      <w:r w:rsidRPr="00C452C4">
        <w:rPr>
          <w:i/>
        </w:rPr>
        <w:t>C</w:t>
      </w:r>
      <w:r w:rsidRPr="00C452C4">
        <w:t>O</w:t>
      </w:r>
      <w:r w:rsidRPr="00C452C4">
        <w:rPr>
          <w:vertAlign w:val="subscript"/>
        </w:rPr>
        <w:t>2</w:t>
      </w:r>
      <w:r w:rsidRPr="00C452C4">
        <w:t>CH</w:t>
      </w:r>
      <w:r w:rsidRPr="00C452C4">
        <w:rPr>
          <w:vertAlign w:val="subscript"/>
        </w:rPr>
        <w:t>3</w:t>
      </w:r>
      <w:r w:rsidRPr="00C452C4">
        <w:t>). Analytical data was in agreement with the literature</w:t>
      </w:r>
      <w:proofErr w:type="gramStart"/>
      <w:r w:rsidRPr="00C452C4">
        <w:t>.</w:t>
      </w:r>
      <w:r w:rsidR="00A0204A" w:rsidRPr="00A0204A">
        <w:rPr>
          <w:vertAlign w:val="superscript"/>
        </w:rPr>
        <w:t>[</w:t>
      </w:r>
      <w:proofErr w:type="gramEnd"/>
      <w:r w:rsidR="00A0204A" w:rsidRPr="00A0204A">
        <w:rPr>
          <w:vertAlign w:val="superscript"/>
        </w:rPr>
        <w:t>16]</w:t>
      </w:r>
    </w:p>
    <w:bookmarkEnd w:id="6"/>
    <w:bookmarkEnd w:id="7"/>
    <w:p w14:paraId="506768D0" w14:textId="0E1C7131" w:rsidR="001F45C3" w:rsidRPr="00025ADA" w:rsidRDefault="00C452C4" w:rsidP="001F45C3">
      <w:pPr>
        <w:pStyle w:val="ExperimentalSection"/>
        <w:rPr>
          <w:bCs/>
          <w:i/>
          <w:iCs/>
        </w:rPr>
      </w:pPr>
      <w:r w:rsidRPr="00C452C4">
        <w:rPr>
          <w:bCs/>
          <w:i/>
          <w:iCs/>
        </w:rPr>
        <w:t>Preparation and characterisation of 2-(</w:t>
      </w:r>
      <w:proofErr w:type="spellStart"/>
      <w:r w:rsidRPr="00C452C4">
        <w:rPr>
          <w:bCs/>
          <w:i/>
          <w:iCs/>
        </w:rPr>
        <w:t>diethylamino</w:t>
      </w:r>
      <w:proofErr w:type="spellEnd"/>
      <w:r w:rsidRPr="00C452C4">
        <w:rPr>
          <w:bCs/>
          <w:i/>
          <w:iCs/>
        </w:rPr>
        <w:t>)-dimethyl succinate (</w:t>
      </w:r>
      <w:r w:rsidRPr="00C452C4">
        <w:rPr>
          <w:b/>
          <w:bCs/>
          <w:i/>
          <w:iCs/>
        </w:rPr>
        <w:t>9</w:t>
      </w:r>
      <w:r w:rsidRPr="00C452C4">
        <w:rPr>
          <w:bCs/>
          <w:i/>
          <w:iCs/>
        </w:rPr>
        <w:t>)</w:t>
      </w:r>
      <w:r>
        <w:rPr>
          <w:bCs/>
          <w:i/>
          <w:iCs/>
        </w:rPr>
        <w:t xml:space="preserve">. </w:t>
      </w:r>
      <w:r w:rsidRPr="00C452C4">
        <w:t xml:space="preserve">Dimethyl fumarate (9.10 g, 63 </w:t>
      </w:r>
      <w:proofErr w:type="spellStart"/>
      <w:r w:rsidRPr="00C452C4">
        <w:t>mmol</w:t>
      </w:r>
      <w:proofErr w:type="spellEnd"/>
      <w:r w:rsidRPr="00C452C4">
        <w:t xml:space="preserve">, ground with pestle and mortar) was dissolved in </w:t>
      </w:r>
      <w:proofErr w:type="spellStart"/>
      <w:r w:rsidRPr="00C452C4">
        <w:t>diethylamine</w:t>
      </w:r>
      <w:proofErr w:type="spellEnd"/>
      <w:r w:rsidRPr="00C452C4">
        <w:t xml:space="preserve"> (32.8 ml, 315 </w:t>
      </w:r>
      <w:proofErr w:type="spellStart"/>
      <w:r w:rsidRPr="00C452C4">
        <w:t>mmol</w:t>
      </w:r>
      <w:proofErr w:type="spellEnd"/>
      <w:r w:rsidRPr="00C452C4">
        <w:t xml:space="preserve">) and stirred at room temperature for 3 days, with completion of reaction confirmed by GC analysis. Excess </w:t>
      </w:r>
      <w:proofErr w:type="spellStart"/>
      <w:r w:rsidRPr="00C452C4">
        <w:t>diethylamine</w:t>
      </w:r>
      <w:proofErr w:type="spellEnd"/>
      <w:r w:rsidRPr="00C452C4">
        <w:t xml:space="preserve"> was removed </w:t>
      </w:r>
      <w:r w:rsidRPr="00C452C4">
        <w:rPr>
          <w:i/>
        </w:rPr>
        <w:t xml:space="preserve">in </w:t>
      </w:r>
      <w:proofErr w:type="spellStart"/>
      <w:r w:rsidRPr="00C452C4">
        <w:rPr>
          <w:i/>
        </w:rPr>
        <w:t>vacuo</w:t>
      </w:r>
      <w:proofErr w:type="spellEnd"/>
      <w:r w:rsidRPr="00C452C4">
        <w:rPr>
          <w:i/>
        </w:rPr>
        <w:t xml:space="preserve"> </w:t>
      </w:r>
      <w:r w:rsidRPr="00C452C4">
        <w:t xml:space="preserve">affording the desired product, </w:t>
      </w:r>
      <w:r w:rsidRPr="00C452C4">
        <w:rPr>
          <w:b/>
        </w:rPr>
        <w:t xml:space="preserve">9 </w:t>
      </w:r>
      <w:r w:rsidRPr="00C452C4">
        <w:t>(2-(</w:t>
      </w:r>
      <w:proofErr w:type="spellStart"/>
      <w:r w:rsidRPr="00C452C4">
        <w:t>diethylamino</w:t>
      </w:r>
      <w:proofErr w:type="spellEnd"/>
      <w:r w:rsidRPr="00C452C4">
        <w:t xml:space="preserve">)-dimethyl succinate), as an orange to yellow slightly viscous liquid (11.4 g, 83%); </w:t>
      </w:r>
      <w:proofErr w:type="spellStart"/>
      <w:r w:rsidRPr="00C452C4">
        <w:t>diethylamine</w:t>
      </w:r>
      <w:proofErr w:type="spellEnd"/>
      <w:r w:rsidRPr="00C452C4">
        <w:t xml:space="preserve"> elimination (retro-</w:t>
      </w:r>
      <w:proofErr w:type="spellStart"/>
      <w:r w:rsidRPr="00C452C4">
        <w:t>aza</w:t>
      </w:r>
      <w:proofErr w:type="spellEnd"/>
      <w:r w:rsidRPr="00C452C4">
        <w:t xml:space="preserve">-Michael addition) observed on heating to temperatures &gt;80 ˚C; </w:t>
      </w:r>
      <w:r w:rsidRPr="00C452C4">
        <w:rPr>
          <w:vertAlign w:val="superscript"/>
        </w:rPr>
        <w:t>1</w:t>
      </w:r>
      <w:r w:rsidRPr="00C452C4">
        <w:t>H-NMR (400 MHz, CDCl</w:t>
      </w:r>
      <w:r w:rsidRPr="00C452C4">
        <w:rPr>
          <w:vertAlign w:val="subscript"/>
        </w:rPr>
        <w:t>3</w:t>
      </w:r>
      <w:r w:rsidRPr="00C452C4">
        <w:t xml:space="preserve">, </w:t>
      </w:r>
      <w:proofErr w:type="spellStart"/>
      <w:r w:rsidRPr="00C452C4">
        <w:t>δ</w:t>
      </w:r>
      <w:r w:rsidRPr="00C452C4">
        <w:rPr>
          <w:vertAlign w:val="subscript"/>
        </w:rPr>
        <w:t>H</w:t>
      </w:r>
      <w:proofErr w:type="spellEnd"/>
      <w:r w:rsidRPr="00C452C4">
        <w:t xml:space="preserve">, ppm): 1.04 (6H, t, </w:t>
      </w:r>
      <w:r w:rsidRPr="00C452C4">
        <w:rPr>
          <w:vertAlign w:val="superscript"/>
        </w:rPr>
        <w:t>3</w:t>
      </w:r>
      <w:r w:rsidRPr="00C452C4">
        <w:rPr>
          <w:i/>
        </w:rPr>
        <w:t>J</w:t>
      </w:r>
      <w:r w:rsidRPr="00C452C4">
        <w:t xml:space="preserve"> = 7.3 Hz, N(CH</w:t>
      </w:r>
      <w:r w:rsidRPr="00C452C4">
        <w:rPr>
          <w:vertAlign w:val="subscript"/>
        </w:rPr>
        <w:t>2</w:t>
      </w:r>
      <w:r w:rsidRPr="00C452C4">
        <w:t>C</w:t>
      </w:r>
      <w:r w:rsidRPr="00C452C4">
        <w:rPr>
          <w:i/>
        </w:rPr>
        <w:t>H</w:t>
      </w:r>
      <w:r w:rsidRPr="00C452C4">
        <w:rPr>
          <w:i/>
          <w:vertAlign w:val="subscript"/>
        </w:rPr>
        <w:t>3</w:t>
      </w:r>
      <w:r w:rsidRPr="00C452C4">
        <w:t>)</w:t>
      </w:r>
      <w:r w:rsidRPr="00C452C4">
        <w:rPr>
          <w:vertAlign w:val="subscript"/>
        </w:rPr>
        <w:t>2</w:t>
      </w:r>
      <w:r w:rsidRPr="00C452C4">
        <w:t>), 2.55 (5H, m, N(C</w:t>
      </w:r>
      <w:r w:rsidRPr="00C452C4">
        <w:rPr>
          <w:i/>
        </w:rPr>
        <w:t>H</w:t>
      </w:r>
      <w:r w:rsidRPr="00C452C4">
        <w:rPr>
          <w:i/>
          <w:vertAlign w:val="subscript"/>
        </w:rPr>
        <w:t>2</w:t>
      </w:r>
      <w:r w:rsidRPr="00C452C4">
        <w:t>CH</w:t>
      </w:r>
      <w:r w:rsidRPr="00C452C4">
        <w:rPr>
          <w:vertAlign w:val="subscript"/>
        </w:rPr>
        <w:t>3</w:t>
      </w:r>
      <w:r w:rsidRPr="00C452C4">
        <w:t>)</w:t>
      </w:r>
      <w:r w:rsidRPr="00C452C4">
        <w:rPr>
          <w:vertAlign w:val="subscript"/>
        </w:rPr>
        <w:t>2</w:t>
      </w:r>
      <w:r w:rsidRPr="00C452C4">
        <w:t xml:space="preserve"> and CHC</w:t>
      </w:r>
      <w:r w:rsidRPr="00C452C4">
        <w:rPr>
          <w:i/>
        </w:rPr>
        <w:t>H</w:t>
      </w:r>
      <w:r w:rsidRPr="00C452C4">
        <w:rPr>
          <w:i/>
          <w:vertAlign w:val="subscript"/>
        </w:rPr>
        <w:t>2</w:t>
      </w:r>
      <w:r w:rsidRPr="00C452C4">
        <w:t>CO</w:t>
      </w:r>
      <w:r w:rsidRPr="00C452C4">
        <w:rPr>
          <w:vertAlign w:val="subscript"/>
        </w:rPr>
        <w:t>2</w:t>
      </w:r>
      <w:r w:rsidRPr="00C452C4">
        <w:t>CH</w:t>
      </w:r>
      <w:r w:rsidRPr="00C452C4">
        <w:rPr>
          <w:vertAlign w:val="subscript"/>
        </w:rPr>
        <w:t>3</w:t>
      </w:r>
      <w:r w:rsidRPr="00C452C4">
        <w:t xml:space="preserve">),), 2.82 (1H, </w:t>
      </w:r>
      <w:proofErr w:type="spellStart"/>
      <w:r w:rsidRPr="00C452C4">
        <w:t>dd</w:t>
      </w:r>
      <w:proofErr w:type="spellEnd"/>
      <w:r w:rsidRPr="00C452C4">
        <w:t xml:space="preserve">, </w:t>
      </w:r>
      <w:r w:rsidRPr="00C452C4">
        <w:rPr>
          <w:vertAlign w:val="superscript"/>
        </w:rPr>
        <w:t>3</w:t>
      </w:r>
      <w:r w:rsidRPr="00C452C4">
        <w:rPr>
          <w:i/>
        </w:rPr>
        <w:t>J</w:t>
      </w:r>
      <w:r w:rsidRPr="00C452C4">
        <w:t xml:space="preserve"> = 7.0 and 15.7 Hz, CHC</w:t>
      </w:r>
      <w:r w:rsidRPr="00C452C4">
        <w:rPr>
          <w:i/>
        </w:rPr>
        <w:t>H</w:t>
      </w:r>
      <w:r w:rsidRPr="00C452C4">
        <w:rPr>
          <w:i/>
          <w:vertAlign w:val="subscript"/>
        </w:rPr>
        <w:t>2</w:t>
      </w:r>
      <w:r w:rsidRPr="00C452C4">
        <w:t>CO</w:t>
      </w:r>
      <w:r w:rsidRPr="00C452C4">
        <w:rPr>
          <w:vertAlign w:val="subscript"/>
        </w:rPr>
        <w:t>2</w:t>
      </w:r>
      <w:r w:rsidRPr="00C452C4">
        <w:t>CH</w:t>
      </w:r>
      <w:r w:rsidRPr="00C452C4">
        <w:rPr>
          <w:vertAlign w:val="subscript"/>
        </w:rPr>
        <w:t>3</w:t>
      </w:r>
      <w:r w:rsidRPr="00C452C4">
        <w:t>), 3.68 (3H, s, CO</w:t>
      </w:r>
      <w:r w:rsidRPr="00C452C4">
        <w:rPr>
          <w:vertAlign w:val="subscript"/>
        </w:rPr>
        <w:t>2</w:t>
      </w:r>
      <w:r w:rsidRPr="00C452C4">
        <w:t>C</w:t>
      </w:r>
      <w:r w:rsidRPr="00C452C4">
        <w:rPr>
          <w:i/>
        </w:rPr>
        <w:t>H</w:t>
      </w:r>
      <w:r w:rsidRPr="00C452C4">
        <w:rPr>
          <w:i/>
          <w:vertAlign w:val="subscript"/>
        </w:rPr>
        <w:t>3</w:t>
      </w:r>
      <w:r w:rsidRPr="00C452C4">
        <w:t>), 3.71 (3H, s, CO</w:t>
      </w:r>
      <w:r w:rsidRPr="00C452C4">
        <w:rPr>
          <w:vertAlign w:val="subscript"/>
        </w:rPr>
        <w:t>2</w:t>
      </w:r>
      <w:r w:rsidRPr="00C452C4">
        <w:t>C</w:t>
      </w:r>
      <w:r w:rsidRPr="00C452C4">
        <w:rPr>
          <w:i/>
        </w:rPr>
        <w:t>H</w:t>
      </w:r>
      <w:r w:rsidRPr="00C452C4">
        <w:rPr>
          <w:i/>
          <w:vertAlign w:val="subscript"/>
        </w:rPr>
        <w:t>3</w:t>
      </w:r>
      <w:r w:rsidRPr="00C452C4">
        <w:t xml:space="preserve">), 3.96 (1H, t, </w:t>
      </w:r>
      <w:r w:rsidRPr="00C452C4">
        <w:rPr>
          <w:vertAlign w:val="superscript"/>
        </w:rPr>
        <w:t>3</w:t>
      </w:r>
      <w:r w:rsidRPr="00C452C4">
        <w:rPr>
          <w:i/>
        </w:rPr>
        <w:t>J</w:t>
      </w:r>
      <w:r w:rsidRPr="00C452C4">
        <w:t xml:space="preserve"> = 7.0 Hz, C</w:t>
      </w:r>
      <w:r w:rsidRPr="00C452C4">
        <w:rPr>
          <w:i/>
        </w:rPr>
        <w:t>H</w:t>
      </w:r>
      <w:r w:rsidRPr="00C452C4">
        <w:t>CH</w:t>
      </w:r>
      <w:r w:rsidRPr="00C452C4">
        <w:rPr>
          <w:vertAlign w:val="subscript"/>
        </w:rPr>
        <w:t>2</w:t>
      </w:r>
      <w:r w:rsidRPr="00C452C4">
        <w:t>CO</w:t>
      </w:r>
      <w:r w:rsidRPr="00C452C4">
        <w:rPr>
          <w:vertAlign w:val="subscript"/>
        </w:rPr>
        <w:t>2</w:t>
      </w:r>
      <w:r w:rsidRPr="00C452C4">
        <w:t>CH</w:t>
      </w:r>
      <w:r w:rsidRPr="00C452C4">
        <w:rPr>
          <w:vertAlign w:val="subscript"/>
        </w:rPr>
        <w:t>3</w:t>
      </w:r>
      <w:r w:rsidRPr="00C452C4">
        <w:t xml:space="preserve">); </w:t>
      </w:r>
      <w:r w:rsidRPr="00C452C4">
        <w:rPr>
          <w:vertAlign w:val="superscript"/>
        </w:rPr>
        <w:t>13</w:t>
      </w:r>
      <w:r w:rsidRPr="00C452C4">
        <w:t>C-NMR (100 MHz, CDCl</w:t>
      </w:r>
      <w:r w:rsidRPr="00C452C4">
        <w:rPr>
          <w:vertAlign w:val="subscript"/>
        </w:rPr>
        <w:t>3</w:t>
      </w:r>
      <w:r w:rsidRPr="00C452C4">
        <w:t xml:space="preserve">, </w:t>
      </w:r>
      <w:proofErr w:type="spellStart"/>
      <w:r w:rsidRPr="00C452C4">
        <w:t>δ</w:t>
      </w:r>
      <w:r w:rsidRPr="00C452C4">
        <w:rPr>
          <w:vertAlign w:val="subscript"/>
        </w:rPr>
        <w:t>C</w:t>
      </w:r>
      <w:proofErr w:type="spellEnd"/>
      <w:r w:rsidRPr="00C452C4">
        <w:t>, ppm): 14.0 (2C, N(CH</w:t>
      </w:r>
      <w:r w:rsidRPr="00C452C4">
        <w:rPr>
          <w:vertAlign w:val="subscript"/>
        </w:rPr>
        <w:t>2</w:t>
      </w:r>
      <w:r w:rsidRPr="00C452C4">
        <w:rPr>
          <w:i/>
        </w:rPr>
        <w:t>C</w:t>
      </w:r>
      <w:r w:rsidRPr="00C452C4">
        <w:t>H</w:t>
      </w:r>
      <w:r w:rsidRPr="00C452C4">
        <w:rPr>
          <w:vertAlign w:val="subscript"/>
        </w:rPr>
        <w:t>3</w:t>
      </w:r>
      <w:r w:rsidRPr="00C452C4">
        <w:t>)</w:t>
      </w:r>
      <w:r w:rsidRPr="00C452C4">
        <w:rPr>
          <w:vertAlign w:val="subscript"/>
        </w:rPr>
        <w:t>2</w:t>
      </w:r>
      <w:r w:rsidRPr="00C452C4">
        <w:t>), 34.7 (CH</w:t>
      </w:r>
      <w:r w:rsidRPr="00C452C4">
        <w:rPr>
          <w:i/>
        </w:rPr>
        <w:t>C</w:t>
      </w:r>
      <w:r w:rsidRPr="00C452C4">
        <w:t>H</w:t>
      </w:r>
      <w:r w:rsidRPr="00C452C4">
        <w:rPr>
          <w:vertAlign w:val="subscript"/>
        </w:rPr>
        <w:t>2</w:t>
      </w:r>
      <w:r w:rsidRPr="00C452C4">
        <w:t>CO</w:t>
      </w:r>
      <w:r w:rsidRPr="00C452C4">
        <w:rPr>
          <w:vertAlign w:val="subscript"/>
        </w:rPr>
        <w:t>2</w:t>
      </w:r>
      <w:r w:rsidRPr="00C452C4">
        <w:t>CH</w:t>
      </w:r>
      <w:r w:rsidRPr="00C452C4">
        <w:rPr>
          <w:vertAlign w:val="subscript"/>
        </w:rPr>
        <w:t>3</w:t>
      </w:r>
      <w:r w:rsidRPr="00C452C4">
        <w:t>), 45.0 (2C, N(</w:t>
      </w:r>
      <w:r w:rsidRPr="00C452C4">
        <w:rPr>
          <w:i/>
        </w:rPr>
        <w:t>C</w:t>
      </w:r>
      <w:r w:rsidRPr="00C452C4">
        <w:t>H</w:t>
      </w:r>
      <w:r w:rsidRPr="00C452C4">
        <w:rPr>
          <w:vertAlign w:val="subscript"/>
        </w:rPr>
        <w:t>2</w:t>
      </w:r>
      <w:r w:rsidRPr="00C452C4">
        <w:t>CH</w:t>
      </w:r>
      <w:r w:rsidRPr="00C452C4">
        <w:rPr>
          <w:vertAlign w:val="subscript"/>
        </w:rPr>
        <w:t>3</w:t>
      </w:r>
      <w:r w:rsidRPr="00C452C4">
        <w:t>)</w:t>
      </w:r>
      <w:r w:rsidRPr="00C452C4">
        <w:rPr>
          <w:vertAlign w:val="subscript"/>
        </w:rPr>
        <w:t>2</w:t>
      </w:r>
      <w:r w:rsidRPr="00C452C4">
        <w:t>), 51.5 (CO</w:t>
      </w:r>
      <w:r w:rsidRPr="00C452C4">
        <w:rPr>
          <w:vertAlign w:val="subscript"/>
        </w:rPr>
        <w:t>2</w:t>
      </w:r>
      <w:r w:rsidRPr="00C452C4">
        <w:rPr>
          <w:i/>
        </w:rPr>
        <w:t>C</w:t>
      </w:r>
      <w:r w:rsidRPr="00C452C4">
        <w:t>H</w:t>
      </w:r>
      <w:r w:rsidRPr="00C452C4">
        <w:rPr>
          <w:vertAlign w:val="subscript"/>
        </w:rPr>
        <w:t>3</w:t>
      </w:r>
      <w:r w:rsidRPr="00C452C4">
        <w:t>), 51.7 (CO</w:t>
      </w:r>
      <w:r w:rsidRPr="00C452C4">
        <w:rPr>
          <w:vertAlign w:val="subscript"/>
        </w:rPr>
        <w:t>2</w:t>
      </w:r>
      <w:r w:rsidRPr="00C452C4">
        <w:rPr>
          <w:i/>
        </w:rPr>
        <w:t>C</w:t>
      </w:r>
      <w:r w:rsidRPr="00C452C4">
        <w:t>H</w:t>
      </w:r>
      <w:r w:rsidRPr="00C452C4">
        <w:rPr>
          <w:vertAlign w:val="subscript"/>
        </w:rPr>
        <w:t>3</w:t>
      </w:r>
      <w:r w:rsidRPr="00C452C4">
        <w:t>),  59.1 (</w:t>
      </w:r>
      <w:r w:rsidRPr="00C452C4">
        <w:rPr>
          <w:i/>
        </w:rPr>
        <w:t>C</w:t>
      </w:r>
      <w:r w:rsidRPr="00C452C4">
        <w:t>HN(CH</w:t>
      </w:r>
      <w:r w:rsidRPr="00C452C4">
        <w:rPr>
          <w:vertAlign w:val="subscript"/>
        </w:rPr>
        <w:t>2</w:t>
      </w:r>
      <w:r w:rsidRPr="00C452C4">
        <w:t>CH</w:t>
      </w:r>
      <w:r w:rsidRPr="00C452C4">
        <w:rPr>
          <w:vertAlign w:val="subscript"/>
        </w:rPr>
        <w:t>3</w:t>
      </w:r>
      <w:r w:rsidRPr="00C452C4">
        <w:t>)</w:t>
      </w:r>
      <w:r w:rsidRPr="00C452C4">
        <w:rPr>
          <w:vertAlign w:val="subscript"/>
        </w:rPr>
        <w:t>2</w:t>
      </w:r>
      <w:r w:rsidRPr="00C452C4">
        <w:t>), 172.0 (</w:t>
      </w:r>
      <w:r w:rsidRPr="00C452C4">
        <w:rPr>
          <w:i/>
        </w:rPr>
        <w:t>C</w:t>
      </w:r>
      <w:r w:rsidRPr="00C452C4">
        <w:t>O</w:t>
      </w:r>
      <w:r w:rsidRPr="00C452C4">
        <w:rPr>
          <w:vertAlign w:val="subscript"/>
        </w:rPr>
        <w:t>2</w:t>
      </w:r>
      <w:r w:rsidRPr="00C452C4">
        <w:t>CH</w:t>
      </w:r>
      <w:r w:rsidRPr="00C452C4">
        <w:rPr>
          <w:vertAlign w:val="subscript"/>
        </w:rPr>
        <w:t>3</w:t>
      </w:r>
      <w:r w:rsidRPr="00C452C4">
        <w:t>), 172.7 (</w:t>
      </w:r>
      <w:r w:rsidRPr="00C452C4">
        <w:rPr>
          <w:i/>
        </w:rPr>
        <w:t>C</w:t>
      </w:r>
      <w:r w:rsidRPr="00C452C4">
        <w:t>O</w:t>
      </w:r>
      <w:r w:rsidRPr="00C452C4">
        <w:rPr>
          <w:vertAlign w:val="subscript"/>
        </w:rPr>
        <w:t>2</w:t>
      </w:r>
      <w:r w:rsidRPr="00C452C4">
        <w:t>CH</w:t>
      </w:r>
      <w:r w:rsidRPr="00C452C4">
        <w:rPr>
          <w:vertAlign w:val="subscript"/>
        </w:rPr>
        <w:t>3</w:t>
      </w:r>
      <w:r w:rsidRPr="00C452C4">
        <w:t>); ESI-MS accurate mass, 218.1378 (MH</w:t>
      </w:r>
      <w:r w:rsidRPr="00C452C4">
        <w:rPr>
          <w:vertAlign w:val="superscript"/>
        </w:rPr>
        <w:t>+</w:t>
      </w:r>
      <w:r w:rsidRPr="00C452C4">
        <w:t>, 218.1387 calc. for C</w:t>
      </w:r>
      <w:r w:rsidRPr="00C452C4">
        <w:rPr>
          <w:vertAlign w:val="subscript"/>
        </w:rPr>
        <w:t>10</w:t>
      </w:r>
      <w:r w:rsidRPr="00C452C4">
        <w:t>H</w:t>
      </w:r>
      <w:r w:rsidRPr="00C452C4">
        <w:rPr>
          <w:vertAlign w:val="subscript"/>
        </w:rPr>
        <w:t>20</w:t>
      </w:r>
      <w:r w:rsidRPr="00C452C4">
        <w:t>NO</w:t>
      </w:r>
      <w:r w:rsidRPr="00C452C4">
        <w:rPr>
          <w:vertAlign w:val="subscript"/>
        </w:rPr>
        <w:t>4</w:t>
      </w:r>
      <w:r w:rsidRPr="00C452C4">
        <w:t>); IR (ν, cm</w:t>
      </w:r>
      <w:r w:rsidRPr="00C452C4">
        <w:rPr>
          <w:vertAlign w:val="superscript"/>
        </w:rPr>
        <w:t>-1</w:t>
      </w:r>
      <w:r w:rsidRPr="00C452C4">
        <w:t xml:space="preserve">), 2971 (C-H), 2844 (C-H), 1731 (C=O, ester), 1436 (H-C-H). </w:t>
      </w:r>
    </w:p>
    <w:p w14:paraId="2A2CD87E" w14:textId="7A0B13FC" w:rsidR="00E4350D" w:rsidRDefault="00025ADA" w:rsidP="00E4350D">
      <w:pPr>
        <w:pStyle w:val="HAcknowledgements"/>
        <w:rPr>
          <w:color w:val="FF0000"/>
        </w:rPr>
      </w:pPr>
      <w:r>
        <w:t>Acknowledgements</w:t>
      </w:r>
    </w:p>
    <w:p w14:paraId="157A26F4" w14:textId="4AE79BA5" w:rsidR="00E4350D" w:rsidRDefault="00025ADA" w:rsidP="00EB27E9">
      <w:pPr>
        <w:pStyle w:val="Acknowledgements"/>
      </w:pPr>
      <w:r w:rsidRPr="00025ADA">
        <w:rPr>
          <w:lang w:val="en-GB"/>
        </w:rPr>
        <w:t xml:space="preserve">The authors would like to the UK Engineering and Physical Sciences Research Council (EPSRC, grant EP/L017393/1) and Unilever PLC for funding their involvement in this research. Alessandro </w:t>
      </w:r>
      <w:proofErr w:type="spellStart"/>
      <w:r w:rsidRPr="00025ADA">
        <w:rPr>
          <w:lang w:val="en-GB"/>
        </w:rPr>
        <w:t>Pellis</w:t>
      </w:r>
      <w:proofErr w:type="spellEnd"/>
      <w:r w:rsidRPr="00025ADA">
        <w:rPr>
          <w:lang w:val="en-GB"/>
        </w:rPr>
        <w:t xml:space="preserve"> thanks the FWF Erwin Schrödinger fellowship (grant agreement J 4014-N34 for financial support)</w:t>
      </w:r>
      <w:r w:rsidR="004556E1">
        <w:t>.</w:t>
      </w:r>
    </w:p>
    <w:p w14:paraId="008E65F1" w14:textId="574625E3" w:rsidR="00025ADA" w:rsidRDefault="00025ADA" w:rsidP="00025ADA">
      <w:pPr>
        <w:pStyle w:val="HAcknowledgements"/>
        <w:rPr>
          <w:color w:val="FF0000"/>
        </w:rPr>
      </w:pPr>
      <w:r>
        <w:t>Access Statement</w:t>
      </w:r>
    </w:p>
    <w:p w14:paraId="324AF464" w14:textId="30AC7A6F" w:rsidR="00025ADA" w:rsidRDefault="00025ADA" w:rsidP="00EB27E9">
      <w:pPr>
        <w:pStyle w:val="Acknowledgements"/>
      </w:pPr>
      <w:r w:rsidRPr="00025ADA">
        <w:rPr>
          <w:lang w:val="en-GB"/>
        </w:rPr>
        <w:t xml:space="preserve">All data used in the preparation of this manuscript for the sections funded by the EPSRC grant EP/L017393/1 is contained within this document, the electronic supplementary information, or available on request from </w:t>
      </w:r>
      <w:r w:rsidRPr="00F96419">
        <w:rPr>
          <w:lang w:val="en-GB"/>
        </w:rPr>
        <w:t xml:space="preserve">DOI: </w:t>
      </w:r>
      <w:r w:rsidR="00EF67B7" w:rsidRPr="00EF67B7">
        <w:rPr>
          <w:lang w:val="en-GB"/>
        </w:rPr>
        <w:t>10.15124/3403a7f3-7967-4551-b4b7-f505c49ff2de</w:t>
      </w:r>
      <w:r w:rsidRPr="00F96419">
        <w:t>.</w:t>
      </w:r>
    </w:p>
    <w:p w14:paraId="0FCAD1F1" w14:textId="77777777" w:rsidR="00662C1B" w:rsidRPr="00662C1B" w:rsidRDefault="00662C1B" w:rsidP="00662C1B">
      <w:pPr>
        <w:pStyle w:val="HAcknowledgements"/>
        <w:rPr>
          <w:i/>
        </w:rPr>
      </w:pPr>
      <w:r w:rsidRPr="00662C1B">
        <w:rPr>
          <w:i/>
        </w:rPr>
        <w:t>Conflict of interest</w:t>
      </w:r>
    </w:p>
    <w:p w14:paraId="06F7F65B" w14:textId="11973168" w:rsidR="00662C1B" w:rsidRPr="00662C1B" w:rsidRDefault="00662C1B" w:rsidP="00EB27E9">
      <w:pPr>
        <w:pStyle w:val="Acknowledgements"/>
        <w:rPr>
          <w:i/>
        </w:rPr>
      </w:pPr>
      <w:r w:rsidRPr="00662C1B">
        <w:rPr>
          <w:i/>
        </w:rPr>
        <w:t>The authors declare no conflict of interest.</w:t>
      </w:r>
    </w:p>
    <w:p w14:paraId="26918F01" w14:textId="447DC3BA" w:rsidR="00E920BC" w:rsidRDefault="00510779" w:rsidP="00E920BC">
      <w:pPr>
        <w:pStyle w:val="References"/>
        <w:rPr>
          <w:lang w:val="de-DE"/>
        </w:rPr>
      </w:pPr>
      <w:r w:rsidRPr="00390DD7">
        <w:t xml:space="preserve"> </w:t>
      </w:r>
      <w:r w:rsidR="00A33868" w:rsidRPr="00390DD7">
        <w:t>[1]</w:t>
      </w:r>
      <w:r w:rsidR="00A33868" w:rsidRPr="00390DD7">
        <w:tab/>
      </w:r>
      <w:proofErr w:type="gramStart"/>
      <w:r w:rsidR="00E920BC" w:rsidRPr="00E920BC">
        <w:rPr>
          <w:lang w:val="de-DE"/>
        </w:rPr>
        <w:t>a</w:t>
      </w:r>
      <w:proofErr w:type="gramEnd"/>
      <w:r w:rsidR="00E920BC" w:rsidRPr="00E920BC">
        <w:rPr>
          <w:lang w:val="de-DE"/>
        </w:rPr>
        <w:t xml:space="preserve">) T. Werpy, G. Peterson, Top value added chemicals from biomass: Volume 1- Results of screening for potential candidates from sugars and synthetic gas. US Department of Energy; </w:t>
      </w:r>
      <w:r w:rsidR="00E920BC" w:rsidRPr="00E920BC">
        <w:rPr>
          <w:b/>
          <w:lang w:val="de-DE"/>
        </w:rPr>
        <w:t>2004</w:t>
      </w:r>
      <w:r w:rsidR="00E920BC" w:rsidRPr="00E920BC">
        <w:rPr>
          <w:lang w:val="de-DE"/>
        </w:rPr>
        <w:t>: pp. 1-76</w:t>
      </w:r>
      <w:r w:rsidR="00E920BC">
        <w:rPr>
          <w:lang w:val="de-DE"/>
        </w:rPr>
        <w:t xml:space="preserve">; </w:t>
      </w:r>
      <w:r w:rsidR="00E920BC" w:rsidRPr="00E920BC">
        <w:rPr>
          <w:lang w:val="de-DE"/>
        </w:rPr>
        <w:t xml:space="preserve">b) T. J. Farmer, M. Mascal, Chapter 4: Platform Molecules, in </w:t>
      </w:r>
      <w:r w:rsidR="00E920BC" w:rsidRPr="00E920BC">
        <w:rPr>
          <w:i/>
          <w:lang w:val="de-DE"/>
        </w:rPr>
        <w:t>Introduction to Chemicals from Biomass 2</w:t>
      </w:r>
      <w:r w:rsidR="00E920BC" w:rsidRPr="00E920BC">
        <w:rPr>
          <w:i/>
          <w:vertAlign w:val="superscript"/>
          <w:lang w:val="de-DE"/>
        </w:rPr>
        <w:t>nd</w:t>
      </w:r>
      <w:r w:rsidR="00E920BC" w:rsidRPr="00E920BC">
        <w:rPr>
          <w:i/>
          <w:lang w:val="de-DE"/>
        </w:rPr>
        <w:t xml:space="preserve"> Ed</w:t>
      </w:r>
      <w:r w:rsidR="00E920BC" w:rsidRPr="00E920BC">
        <w:rPr>
          <w:lang w:val="de-DE"/>
        </w:rPr>
        <w:t xml:space="preserve">, Wiley VCH, Weinheim, </w:t>
      </w:r>
      <w:r w:rsidR="00E920BC" w:rsidRPr="00E920BC">
        <w:rPr>
          <w:b/>
          <w:lang w:val="de-DE"/>
        </w:rPr>
        <w:t>2014</w:t>
      </w:r>
      <w:r w:rsidR="00E920BC" w:rsidRPr="00E920BC">
        <w:rPr>
          <w:lang w:val="de-DE"/>
        </w:rPr>
        <w:t>, pp. 89-155.</w:t>
      </w:r>
    </w:p>
    <w:p w14:paraId="1E8C2F85" w14:textId="5C98BD29" w:rsidR="00826872" w:rsidRDefault="00E920BC">
      <w:pPr>
        <w:pStyle w:val="References"/>
      </w:pPr>
      <w:r>
        <w:rPr>
          <w:lang w:val="de-DE"/>
        </w:rPr>
        <w:t>[2]</w:t>
      </w:r>
      <w:r>
        <w:rPr>
          <w:lang w:val="de-DE"/>
        </w:rPr>
        <w:tab/>
        <w:t xml:space="preserve">a) </w:t>
      </w:r>
      <w:r w:rsidRPr="00E920BC">
        <w:t>F.</w:t>
      </w:r>
      <w:r w:rsidR="00826872">
        <w:t xml:space="preserve"> </w:t>
      </w:r>
      <w:r w:rsidRPr="00E920BC">
        <w:t xml:space="preserve">H. </w:t>
      </w:r>
      <w:proofErr w:type="spellStart"/>
      <w:r w:rsidRPr="00E920BC">
        <w:t>Isikgor</w:t>
      </w:r>
      <w:proofErr w:type="spellEnd"/>
      <w:r w:rsidRPr="00E920BC">
        <w:t>, C.</w:t>
      </w:r>
      <w:r w:rsidR="00826872">
        <w:t xml:space="preserve"> </w:t>
      </w:r>
      <w:r w:rsidRPr="00E920BC">
        <w:t xml:space="preserve">R. </w:t>
      </w:r>
      <w:proofErr w:type="spellStart"/>
      <w:r w:rsidRPr="00E920BC">
        <w:t>Becer</w:t>
      </w:r>
      <w:proofErr w:type="spellEnd"/>
      <w:r w:rsidRPr="00E920BC">
        <w:t xml:space="preserve">, </w:t>
      </w:r>
      <w:r w:rsidRPr="00E920BC">
        <w:rPr>
          <w:i/>
        </w:rPr>
        <w:t>Polym</w:t>
      </w:r>
      <w:r w:rsidR="006105A4">
        <w:rPr>
          <w:i/>
        </w:rPr>
        <w:t>.</w:t>
      </w:r>
      <w:r w:rsidRPr="00E920BC">
        <w:rPr>
          <w:i/>
        </w:rPr>
        <w:t xml:space="preserve"> Chem. </w:t>
      </w:r>
      <w:r w:rsidRPr="00E920BC">
        <w:rPr>
          <w:b/>
        </w:rPr>
        <w:t>2015</w:t>
      </w:r>
      <w:r w:rsidRPr="00E920BC">
        <w:t xml:space="preserve">, </w:t>
      </w:r>
      <w:r w:rsidRPr="00E920BC">
        <w:rPr>
          <w:i/>
        </w:rPr>
        <w:t>6</w:t>
      </w:r>
      <w:r w:rsidRPr="00E920BC">
        <w:t>, 4497-4559</w:t>
      </w:r>
      <w:r>
        <w:t xml:space="preserve">; b) </w:t>
      </w:r>
      <w:r w:rsidRPr="00E920BC">
        <w:t xml:space="preserve">Y. Zhu, C. </w:t>
      </w:r>
      <w:proofErr w:type="spellStart"/>
      <w:r w:rsidRPr="00E920BC">
        <w:t>Romain</w:t>
      </w:r>
      <w:proofErr w:type="spellEnd"/>
      <w:r w:rsidRPr="00E920BC">
        <w:t>, C.</w:t>
      </w:r>
      <w:r w:rsidR="00826872">
        <w:t xml:space="preserve"> </w:t>
      </w:r>
      <w:r w:rsidRPr="00E920BC">
        <w:t xml:space="preserve">K. Williams, </w:t>
      </w:r>
      <w:r w:rsidRPr="00E920BC">
        <w:rPr>
          <w:i/>
        </w:rPr>
        <w:t xml:space="preserve">Nature </w:t>
      </w:r>
      <w:r w:rsidRPr="00E920BC">
        <w:rPr>
          <w:b/>
        </w:rPr>
        <w:t>2016</w:t>
      </w:r>
      <w:r w:rsidRPr="00E920BC">
        <w:t xml:space="preserve">, </w:t>
      </w:r>
      <w:r w:rsidRPr="00E920BC">
        <w:rPr>
          <w:i/>
        </w:rPr>
        <w:t>540</w:t>
      </w:r>
      <w:r w:rsidRPr="00E920BC">
        <w:t>, 354–362</w:t>
      </w:r>
      <w:r>
        <w:t xml:space="preserve">; c) </w:t>
      </w:r>
      <w:r w:rsidRPr="00E920BC">
        <w:t xml:space="preserve">A. </w:t>
      </w:r>
      <w:proofErr w:type="spellStart"/>
      <w:r w:rsidRPr="00E920BC">
        <w:t>Gandini</w:t>
      </w:r>
      <w:proofErr w:type="spellEnd"/>
      <w:r w:rsidRPr="00E920BC">
        <w:t>, T.</w:t>
      </w:r>
      <w:r w:rsidR="00826872">
        <w:t xml:space="preserve"> </w:t>
      </w:r>
      <w:r w:rsidRPr="00E920BC">
        <w:t xml:space="preserve">M. </w:t>
      </w:r>
      <w:proofErr w:type="spellStart"/>
      <w:r w:rsidRPr="00E920BC">
        <w:t>Lacerda</w:t>
      </w:r>
      <w:proofErr w:type="spellEnd"/>
      <w:r w:rsidRPr="00E920BC">
        <w:t xml:space="preserve">, </w:t>
      </w:r>
      <w:r w:rsidR="006105A4" w:rsidRPr="006105A4">
        <w:rPr>
          <w:i/>
          <w:lang w:val="de-DE"/>
        </w:rPr>
        <w:t>Prog. Polym. Sci.</w:t>
      </w:r>
      <w:r w:rsidRPr="00E920BC">
        <w:t xml:space="preserve"> </w:t>
      </w:r>
      <w:r w:rsidRPr="00E920BC">
        <w:rPr>
          <w:b/>
        </w:rPr>
        <w:t>2015</w:t>
      </w:r>
      <w:r w:rsidRPr="00E920BC">
        <w:t xml:space="preserve">, </w:t>
      </w:r>
      <w:r w:rsidRPr="00E920BC">
        <w:rPr>
          <w:i/>
        </w:rPr>
        <w:t>48</w:t>
      </w:r>
      <w:r w:rsidRPr="00E920BC">
        <w:t>, 1–39</w:t>
      </w:r>
      <w:r w:rsidR="009E3220">
        <w:t xml:space="preserve">; </w:t>
      </w:r>
      <w:r w:rsidR="009E3220" w:rsidRPr="00F96419">
        <w:t>d)</w:t>
      </w:r>
      <w:r w:rsidR="00826872" w:rsidRPr="00F96419">
        <w:t xml:space="preserve"> R. T. </w:t>
      </w:r>
      <w:proofErr w:type="spellStart"/>
      <w:r w:rsidR="00826872" w:rsidRPr="00F96419">
        <w:t>Mathers</w:t>
      </w:r>
      <w:proofErr w:type="spellEnd"/>
      <w:r w:rsidR="00826872" w:rsidRPr="00F96419">
        <w:t>,</w:t>
      </w:r>
      <w:r w:rsidR="009E3220" w:rsidRPr="00F96419">
        <w:t xml:space="preserve"> </w:t>
      </w:r>
      <w:r w:rsidR="00826872" w:rsidRPr="00F96419">
        <w:rPr>
          <w:i/>
        </w:rPr>
        <w:t>J. Polym. Sci., Part A: Polym. Chem.</w:t>
      </w:r>
      <w:r w:rsidR="00826872" w:rsidRPr="00F96419">
        <w:t xml:space="preserve"> </w:t>
      </w:r>
      <w:r w:rsidR="00826872" w:rsidRPr="00F96419">
        <w:rPr>
          <w:b/>
        </w:rPr>
        <w:t>2012</w:t>
      </w:r>
      <w:r w:rsidR="00826872" w:rsidRPr="00F96419">
        <w:t xml:space="preserve">, </w:t>
      </w:r>
      <w:r w:rsidR="00826872" w:rsidRPr="00F96419">
        <w:rPr>
          <w:i/>
        </w:rPr>
        <w:t>50</w:t>
      </w:r>
      <w:r w:rsidR="00826872" w:rsidRPr="00F96419">
        <w:t xml:space="preserve">, 1-15; </w:t>
      </w:r>
      <w:r w:rsidR="009E3220" w:rsidRPr="00F96419">
        <w:t xml:space="preserve">e) </w:t>
      </w:r>
      <w:r w:rsidR="00826872" w:rsidRPr="00F96419">
        <w:t xml:space="preserve">A. </w:t>
      </w:r>
      <w:proofErr w:type="spellStart"/>
      <w:r w:rsidR="00826872" w:rsidRPr="00F96419">
        <w:t>Llevot</w:t>
      </w:r>
      <w:proofErr w:type="spellEnd"/>
      <w:r w:rsidR="00826872" w:rsidRPr="00F96419">
        <w:t xml:space="preserve">, P-K </w:t>
      </w:r>
      <w:proofErr w:type="spellStart"/>
      <w:r w:rsidR="00826872" w:rsidRPr="00F96419">
        <w:t>Dannecker</w:t>
      </w:r>
      <w:proofErr w:type="spellEnd"/>
      <w:r w:rsidR="00826872" w:rsidRPr="00F96419">
        <w:t xml:space="preserve">, M. von </w:t>
      </w:r>
      <w:proofErr w:type="spellStart"/>
      <w:r w:rsidR="00826872" w:rsidRPr="00F96419">
        <w:t>Czapiewski</w:t>
      </w:r>
      <w:proofErr w:type="spellEnd"/>
      <w:r w:rsidR="00826872" w:rsidRPr="00F96419">
        <w:t xml:space="preserve">, L. C. Over, Z. </w:t>
      </w:r>
      <w:proofErr w:type="spellStart"/>
      <w:r w:rsidR="00826872" w:rsidRPr="00F96419">
        <w:t>Sçyler</w:t>
      </w:r>
      <w:proofErr w:type="spellEnd"/>
      <w:r w:rsidR="00826872" w:rsidRPr="00F96419">
        <w:t xml:space="preserve">, M. A. R. Meier, </w:t>
      </w:r>
      <w:r w:rsidR="00826872" w:rsidRPr="00F96419">
        <w:rPr>
          <w:i/>
        </w:rPr>
        <w:t>Chem. Eur. J</w:t>
      </w:r>
      <w:r w:rsidR="00826872" w:rsidRPr="00F96419">
        <w:t xml:space="preserve">. </w:t>
      </w:r>
      <w:r w:rsidR="00826872" w:rsidRPr="00F96419">
        <w:rPr>
          <w:b/>
        </w:rPr>
        <w:t>2016</w:t>
      </w:r>
      <w:r w:rsidR="00826872" w:rsidRPr="00F96419">
        <w:t xml:space="preserve">, </w:t>
      </w:r>
      <w:r w:rsidR="00826872" w:rsidRPr="00F96419">
        <w:rPr>
          <w:i/>
        </w:rPr>
        <w:t>22</w:t>
      </w:r>
      <w:r w:rsidR="00826872" w:rsidRPr="00F96419">
        <w:t>, 11510-11521.</w:t>
      </w:r>
    </w:p>
    <w:p w14:paraId="6261B2B1" w14:textId="023B384A" w:rsidR="00F04365" w:rsidRDefault="00F04365" w:rsidP="00F04365">
      <w:pPr>
        <w:pStyle w:val="References"/>
        <w:rPr>
          <w:lang w:val="de-DE"/>
        </w:rPr>
      </w:pPr>
      <w:r>
        <w:t>[3]</w:t>
      </w:r>
      <w:r>
        <w:tab/>
      </w:r>
      <w:proofErr w:type="gramStart"/>
      <w:r>
        <w:t>a</w:t>
      </w:r>
      <w:proofErr w:type="gramEnd"/>
      <w:r>
        <w:t xml:space="preserve">) </w:t>
      </w:r>
      <w:r w:rsidRPr="00F04365">
        <w:rPr>
          <w:lang w:val="de-DE"/>
        </w:rPr>
        <w:t xml:space="preserve">T. Robert, S. Friebel, </w:t>
      </w:r>
      <w:r w:rsidRPr="00F04365">
        <w:rPr>
          <w:i/>
          <w:lang w:val="de-DE"/>
        </w:rPr>
        <w:t>Green Chem.</w:t>
      </w:r>
      <w:r w:rsidRPr="00F04365">
        <w:rPr>
          <w:lang w:val="de-DE"/>
        </w:rPr>
        <w:t xml:space="preserve"> </w:t>
      </w:r>
      <w:r w:rsidRPr="00F04365">
        <w:rPr>
          <w:b/>
          <w:lang w:val="de-DE"/>
        </w:rPr>
        <w:t>2016</w:t>
      </w:r>
      <w:r w:rsidRPr="00F04365">
        <w:rPr>
          <w:lang w:val="de-DE"/>
        </w:rPr>
        <w:t xml:space="preserve">, </w:t>
      </w:r>
      <w:r w:rsidRPr="00F04365">
        <w:rPr>
          <w:i/>
          <w:lang w:val="de-DE"/>
        </w:rPr>
        <w:t>18</w:t>
      </w:r>
      <w:r w:rsidRPr="00F04365">
        <w:rPr>
          <w:lang w:val="de-DE"/>
        </w:rPr>
        <w:t>, 2922-2934</w:t>
      </w:r>
      <w:r>
        <w:rPr>
          <w:lang w:val="de-DE"/>
        </w:rPr>
        <w:t xml:space="preserve">; b) </w:t>
      </w:r>
      <w:r w:rsidR="005E2989" w:rsidRPr="005E2989">
        <w:rPr>
          <w:lang w:val="de-DE"/>
        </w:rPr>
        <w:t xml:space="preserve">T. J Farmer, J. W. Comerford,  A. Pellis  T. Robert, </w:t>
      </w:r>
      <w:r w:rsidR="006105A4" w:rsidRPr="006105A4">
        <w:rPr>
          <w:i/>
          <w:lang w:val="de-DE"/>
        </w:rPr>
        <w:tab/>
        <w:t xml:space="preserve">Polym. Int. </w:t>
      </w:r>
      <w:r w:rsidR="005E2989" w:rsidRPr="005E2989">
        <w:rPr>
          <w:b/>
          <w:lang w:val="de-DE"/>
        </w:rPr>
        <w:t>2018</w:t>
      </w:r>
      <w:r w:rsidR="005E2989" w:rsidRPr="005E2989">
        <w:rPr>
          <w:lang w:val="de-DE"/>
        </w:rPr>
        <w:t xml:space="preserve">, </w:t>
      </w:r>
      <w:r w:rsidR="005E2989" w:rsidRPr="00F96419">
        <w:rPr>
          <w:i/>
          <w:lang w:val="de-DE"/>
        </w:rPr>
        <w:t>accepted</w:t>
      </w:r>
      <w:r w:rsidR="005E2989" w:rsidRPr="00F96419">
        <w:rPr>
          <w:lang w:val="de-DE"/>
        </w:rPr>
        <w:t>, doi.org/10.1002/pi.5573</w:t>
      </w:r>
      <w:r w:rsidRPr="00F96419">
        <w:rPr>
          <w:lang w:val="de-DE"/>
        </w:rPr>
        <w:t>;</w:t>
      </w:r>
      <w:r>
        <w:rPr>
          <w:lang w:val="de-DE"/>
        </w:rPr>
        <w:t xml:space="preserve"> c) </w:t>
      </w:r>
      <w:r w:rsidRPr="00F04365">
        <w:rPr>
          <w:lang w:val="de-DE"/>
        </w:rPr>
        <w:t xml:space="preserve">S. Kumar, S. Krishnan, S. K. Samal, S. Mohanty, S. K. Nayak, </w:t>
      </w:r>
      <w:r w:rsidRPr="00F04365">
        <w:rPr>
          <w:i/>
          <w:lang w:val="de-DE"/>
        </w:rPr>
        <w:t>Polym</w:t>
      </w:r>
      <w:r w:rsidR="006105A4">
        <w:rPr>
          <w:i/>
          <w:lang w:val="de-DE"/>
        </w:rPr>
        <w:t>.</w:t>
      </w:r>
      <w:r w:rsidRPr="00F04365">
        <w:rPr>
          <w:i/>
          <w:lang w:val="de-DE"/>
        </w:rPr>
        <w:t xml:space="preserve"> Int</w:t>
      </w:r>
      <w:r w:rsidR="006105A4">
        <w:rPr>
          <w:i/>
          <w:lang w:val="de-DE"/>
        </w:rPr>
        <w:t>.</w:t>
      </w:r>
      <w:r w:rsidRPr="00F04365">
        <w:rPr>
          <w:lang w:val="de-DE"/>
        </w:rPr>
        <w:t xml:space="preserve"> </w:t>
      </w:r>
      <w:r w:rsidRPr="00F04365">
        <w:rPr>
          <w:b/>
          <w:lang w:val="de-DE"/>
        </w:rPr>
        <w:t>2017</w:t>
      </w:r>
      <w:r w:rsidRPr="00F04365">
        <w:rPr>
          <w:lang w:val="de-DE"/>
        </w:rPr>
        <w:t xml:space="preserve">, </w:t>
      </w:r>
      <w:r w:rsidRPr="00F04365">
        <w:rPr>
          <w:i/>
          <w:lang w:val="de-DE"/>
        </w:rPr>
        <w:t>66</w:t>
      </w:r>
      <w:r w:rsidRPr="00F04365">
        <w:rPr>
          <w:lang w:val="de-DE"/>
        </w:rPr>
        <w:t>, 1349–1363</w:t>
      </w:r>
      <w:r>
        <w:rPr>
          <w:lang w:val="de-DE"/>
        </w:rPr>
        <w:t xml:space="preserve">; d) </w:t>
      </w:r>
      <w:r w:rsidRPr="00F04365">
        <w:rPr>
          <w:lang w:val="de-DE"/>
        </w:rPr>
        <w:t xml:space="preserve">A. C. Fonseca. C. S. M. F. Costa, T. M. P. Marques, J. F. J. Coelho, A. C. Serra, </w:t>
      </w:r>
      <w:r w:rsidRPr="00F04365">
        <w:rPr>
          <w:i/>
          <w:lang w:val="de-DE"/>
        </w:rPr>
        <w:t>J Mater Sci</w:t>
      </w:r>
      <w:r w:rsidRPr="00F04365">
        <w:rPr>
          <w:lang w:val="de-DE"/>
        </w:rPr>
        <w:t xml:space="preserve"> </w:t>
      </w:r>
      <w:r w:rsidRPr="00F04365">
        <w:rPr>
          <w:b/>
          <w:lang w:val="de-DE"/>
        </w:rPr>
        <w:t>2017</w:t>
      </w:r>
      <w:r w:rsidRPr="00F04365">
        <w:rPr>
          <w:lang w:val="de-DE"/>
        </w:rPr>
        <w:t xml:space="preserve">, </w:t>
      </w:r>
      <w:r w:rsidRPr="00F04365">
        <w:rPr>
          <w:i/>
          <w:lang w:val="de-DE"/>
        </w:rPr>
        <w:t>52</w:t>
      </w:r>
      <w:r w:rsidRPr="00F04365">
        <w:rPr>
          <w:lang w:val="de-DE"/>
        </w:rPr>
        <w:t>, 1272-1284</w:t>
      </w:r>
      <w:r>
        <w:rPr>
          <w:lang w:val="de-DE"/>
        </w:rPr>
        <w:t xml:space="preserve">; e) </w:t>
      </w:r>
      <w:r w:rsidRPr="00F04365">
        <w:rPr>
          <w:lang w:val="de-DE"/>
        </w:rPr>
        <w:t xml:space="preserve">C. S. M. F. Costa, A. C. Fonseca, J. Moniz, M. Godinho, J. F. J. Coelho, A. C. Serra, </w:t>
      </w:r>
      <w:r w:rsidR="006105A4">
        <w:rPr>
          <w:i/>
          <w:lang w:val="de-DE"/>
        </w:rPr>
        <w:t>Express Polym. Lett.</w:t>
      </w:r>
      <w:r w:rsidRPr="00F04365">
        <w:rPr>
          <w:i/>
          <w:lang w:val="de-DE"/>
        </w:rPr>
        <w:t xml:space="preserve"> </w:t>
      </w:r>
      <w:r w:rsidRPr="00F04365">
        <w:rPr>
          <w:b/>
          <w:lang w:val="de-DE"/>
        </w:rPr>
        <w:t>2017</w:t>
      </w:r>
      <w:r w:rsidRPr="00F04365">
        <w:rPr>
          <w:lang w:val="de-DE"/>
        </w:rPr>
        <w:t xml:space="preserve">, </w:t>
      </w:r>
      <w:r w:rsidRPr="00F04365">
        <w:rPr>
          <w:i/>
          <w:lang w:val="de-DE"/>
        </w:rPr>
        <w:t>11</w:t>
      </w:r>
      <w:r w:rsidRPr="00F04365">
        <w:rPr>
          <w:lang w:val="de-DE"/>
        </w:rPr>
        <w:t xml:space="preserve">, </w:t>
      </w:r>
      <w:r>
        <w:rPr>
          <w:lang w:val="de-DE"/>
        </w:rPr>
        <w:t xml:space="preserve">885-898; f) </w:t>
      </w:r>
      <w:r w:rsidRPr="00F04365">
        <w:rPr>
          <w:lang w:val="de-DE"/>
        </w:rPr>
        <w:t xml:space="preserve">D. M. Patil, G. A. Phalak, S. T. Mhaske, </w:t>
      </w:r>
      <w:r w:rsidR="006105A4" w:rsidRPr="006105A4">
        <w:rPr>
          <w:i/>
          <w:lang w:val="de-DE"/>
        </w:rPr>
        <w:t xml:space="preserve">Des. Monomers Polym. </w:t>
      </w:r>
      <w:r w:rsidRPr="00F04365">
        <w:rPr>
          <w:b/>
          <w:lang w:val="de-DE"/>
        </w:rPr>
        <w:t>2017</w:t>
      </w:r>
      <w:r w:rsidRPr="00F04365">
        <w:rPr>
          <w:lang w:val="de-DE"/>
        </w:rPr>
        <w:t xml:space="preserve">, </w:t>
      </w:r>
      <w:r w:rsidRPr="00F04365">
        <w:rPr>
          <w:i/>
          <w:lang w:val="de-DE"/>
        </w:rPr>
        <w:t>20</w:t>
      </w:r>
      <w:r w:rsidRPr="00F04365">
        <w:rPr>
          <w:lang w:val="de-DE"/>
        </w:rPr>
        <w:t>, 269-282</w:t>
      </w:r>
      <w:r>
        <w:rPr>
          <w:lang w:val="de-DE"/>
        </w:rPr>
        <w:t xml:space="preserve">; g) </w:t>
      </w:r>
      <w:r w:rsidRPr="00F04365">
        <w:rPr>
          <w:lang w:val="de-DE"/>
        </w:rPr>
        <w:t xml:space="preserve">A. C. Fonseca, I. M. Lopes, J. F. J. Coelho, A. C. Serra, </w:t>
      </w:r>
      <w:r w:rsidR="006105A4" w:rsidRPr="006105A4">
        <w:rPr>
          <w:i/>
          <w:lang w:val="de-DE"/>
        </w:rPr>
        <w:t xml:space="preserve">React. Funct. Polym. </w:t>
      </w:r>
      <w:r w:rsidRPr="00F04365">
        <w:rPr>
          <w:b/>
          <w:lang w:val="de-DE"/>
        </w:rPr>
        <w:t>2015</w:t>
      </w:r>
      <w:r w:rsidRPr="00F04365">
        <w:rPr>
          <w:lang w:val="de-DE"/>
        </w:rPr>
        <w:t xml:space="preserve">, </w:t>
      </w:r>
      <w:r w:rsidRPr="00F04365">
        <w:rPr>
          <w:i/>
          <w:lang w:val="de-DE"/>
        </w:rPr>
        <w:t>97</w:t>
      </w:r>
      <w:r w:rsidRPr="00F04365">
        <w:rPr>
          <w:lang w:val="de-DE"/>
        </w:rPr>
        <w:t>, 1–11.</w:t>
      </w:r>
    </w:p>
    <w:p w14:paraId="5131A43E" w14:textId="24273235" w:rsidR="00F04365" w:rsidRDefault="00F04365" w:rsidP="00F04365">
      <w:pPr>
        <w:pStyle w:val="References"/>
      </w:pPr>
      <w:r>
        <w:rPr>
          <w:lang w:val="de-DE"/>
        </w:rPr>
        <w:t>[4]</w:t>
      </w:r>
      <w:r>
        <w:rPr>
          <w:lang w:val="de-DE"/>
        </w:rPr>
        <w:tab/>
        <w:t xml:space="preserve">a) </w:t>
      </w:r>
      <w:r w:rsidRPr="00F04365">
        <w:t xml:space="preserve">T. J. Farmer, R. L. Castle, J. H. Clark, D. J. </w:t>
      </w:r>
      <w:proofErr w:type="spellStart"/>
      <w:r w:rsidRPr="00F04365">
        <w:t>Macquarrie</w:t>
      </w:r>
      <w:proofErr w:type="spellEnd"/>
      <w:r w:rsidRPr="00F04365">
        <w:t xml:space="preserve">. </w:t>
      </w:r>
      <w:r w:rsidRPr="00F04365">
        <w:rPr>
          <w:i/>
        </w:rPr>
        <w:t>J. Mol. Sci.</w:t>
      </w:r>
      <w:r w:rsidRPr="00F04365">
        <w:t xml:space="preserve"> </w:t>
      </w:r>
      <w:r w:rsidRPr="00F04365">
        <w:rPr>
          <w:b/>
        </w:rPr>
        <w:t>2015</w:t>
      </w:r>
      <w:r w:rsidRPr="00F04365">
        <w:t xml:space="preserve">, </w:t>
      </w:r>
      <w:r w:rsidRPr="00F04365">
        <w:rPr>
          <w:i/>
        </w:rPr>
        <w:t>16</w:t>
      </w:r>
      <w:r>
        <w:t xml:space="preserve">, 14912-14932; </w:t>
      </w:r>
      <w:r>
        <w:rPr>
          <w:lang w:val="de-DE"/>
        </w:rPr>
        <w:t>b</w:t>
      </w:r>
      <w:r w:rsidRPr="00F04365">
        <w:rPr>
          <w:lang w:val="de-DE"/>
        </w:rPr>
        <w:t xml:space="preserve">) I. Schoon, M. Kluge, S. Eschig, T. Robert. </w:t>
      </w:r>
      <w:r w:rsidRPr="00F04365">
        <w:rPr>
          <w:i/>
          <w:lang w:val="de-DE"/>
        </w:rPr>
        <w:t>Polymers</w:t>
      </w:r>
      <w:r w:rsidRPr="00F04365">
        <w:rPr>
          <w:lang w:val="de-DE"/>
        </w:rPr>
        <w:t xml:space="preserve"> </w:t>
      </w:r>
      <w:r w:rsidRPr="00F04365">
        <w:rPr>
          <w:b/>
          <w:lang w:val="de-DE"/>
        </w:rPr>
        <w:t>2017</w:t>
      </w:r>
      <w:r>
        <w:rPr>
          <w:lang w:val="de-DE"/>
        </w:rPr>
        <w:t xml:space="preserve">, 9, 693; </w:t>
      </w:r>
      <w:r>
        <w:t xml:space="preserve">c) </w:t>
      </w:r>
      <w:r w:rsidRPr="00F04365">
        <w:rPr>
          <w:lang w:val="it-IT"/>
        </w:rPr>
        <w:t xml:space="preserve">T. Sakuma, A. Kumagai, N. Teramoto, M. Shibata, </w:t>
      </w:r>
      <w:r w:rsidRPr="00F04365">
        <w:t xml:space="preserve">J. </w:t>
      </w:r>
      <w:r w:rsidRPr="00F04365">
        <w:rPr>
          <w:i/>
        </w:rPr>
        <w:t>Appl. Polym. Sci.</w:t>
      </w:r>
      <w:r w:rsidRPr="00F04365">
        <w:t xml:space="preserve"> </w:t>
      </w:r>
      <w:r w:rsidRPr="00F04365">
        <w:rPr>
          <w:b/>
        </w:rPr>
        <w:t>2008</w:t>
      </w:r>
      <w:r w:rsidRPr="00F04365">
        <w:t xml:space="preserve">, </w:t>
      </w:r>
      <w:r w:rsidRPr="00F04365">
        <w:rPr>
          <w:i/>
        </w:rPr>
        <w:t>107</w:t>
      </w:r>
      <w:r w:rsidRPr="00F04365">
        <w:t>, 2159–</w:t>
      </w:r>
      <w:r>
        <w:t xml:space="preserve">2164; d) </w:t>
      </w:r>
      <w:r w:rsidRPr="00F04365">
        <w:t>M. D. Rowe</w:t>
      </w:r>
      <w:proofErr w:type="gramStart"/>
      <w:r w:rsidRPr="00F04365">
        <w:t>,  E</w:t>
      </w:r>
      <w:proofErr w:type="gramEnd"/>
      <w:r w:rsidRPr="00F04365">
        <w:t xml:space="preserve">. </w:t>
      </w:r>
      <w:proofErr w:type="spellStart"/>
      <w:r w:rsidRPr="00F04365">
        <w:t>Eyiler</w:t>
      </w:r>
      <w:proofErr w:type="spellEnd"/>
      <w:r w:rsidRPr="00F04365">
        <w:t xml:space="preserve">,  K. B. Walters, </w:t>
      </w:r>
      <w:r w:rsidRPr="00F04365">
        <w:rPr>
          <w:i/>
        </w:rPr>
        <w:t>J. Appl. Polym. Sci.</w:t>
      </w:r>
      <w:r w:rsidRPr="00F04365">
        <w:t xml:space="preserve"> </w:t>
      </w:r>
      <w:r w:rsidRPr="00F04365">
        <w:rPr>
          <w:b/>
        </w:rPr>
        <w:t>2016</w:t>
      </w:r>
      <w:r w:rsidRPr="00F04365">
        <w:t xml:space="preserve">, </w:t>
      </w:r>
      <w:r w:rsidRPr="00F04365">
        <w:rPr>
          <w:i/>
        </w:rPr>
        <w:t>133</w:t>
      </w:r>
      <w:r w:rsidRPr="00F04365">
        <w:t>, 43917</w:t>
      </w:r>
      <w:r>
        <w:t xml:space="preserve">; e) </w:t>
      </w:r>
      <w:r w:rsidRPr="00F04365">
        <w:t xml:space="preserve">M. Winkler, T. M. </w:t>
      </w:r>
      <w:proofErr w:type="spellStart"/>
      <w:r w:rsidRPr="00F04365">
        <w:t>Lacerda</w:t>
      </w:r>
      <w:proofErr w:type="spellEnd"/>
      <w:r w:rsidRPr="00F04365">
        <w:t xml:space="preserve">, F. Mack, M. A. R. Meier, </w:t>
      </w:r>
      <w:r w:rsidRPr="00F04365">
        <w:rPr>
          <w:i/>
        </w:rPr>
        <w:t>Macromolecules</w:t>
      </w:r>
      <w:r w:rsidRPr="00F04365">
        <w:t xml:space="preserve"> </w:t>
      </w:r>
      <w:r w:rsidRPr="00F04365">
        <w:rPr>
          <w:b/>
        </w:rPr>
        <w:t>2015</w:t>
      </w:r>
      <w:r w:rsidRPr="00F04365">
        <w:t xml:space="preserve">, </w:t>
      </w:r>
      <w:r w:rsidRPr="00F04365">
        <w:rPr>
          <w:i/>
        </w:rPr>
        <w:t>48</w:t>
      </w:r>
      <w:r>
        <w:t xml:space="preserve">, 1398−1403; f) </w:t>
      </w:r>
      <w:r w:rsidRPr="00F04365">
        <w:t xml:space="preserve">S. </w:t>
      </w:r>
      <w:proofErr w:type="spellStart"/>
      <w:r w:rsidRPr="00F04365">
        <w:t>Chanda</w:t>
      </w:r>
      <w:proofErr w:type="spellEnd"/>
      <w:r w:rsidRPr="00F04365">
        <w:t xml:space="preserve">, S. </w:t>
      </w:r>
      <w:proofErr w:type="spellStart"/>
      <w:r w:rsidRPr="00F04365">
        <w:t>Ramakrishnan</w:t>
      </w:r>
      <w:proofErr w:type="spellEnd"/>
      <w:r w:rsidRPr="00F04365">
        <w:t xml:space="preserve">, </w:t>
      </w:r>
      <w:r w:rsidRPr="00F04365">
        <w:rPr>
          <w:i/>
        </w:rPr>
        <w:t>Polym. Chem.</w:t>
      </w:r>
      <w:r w:rsidRPr="00F04365">
        <w:t xml:space="preserve"> </w:t>
      </w:r>
      <w:r w:rsidRPr="00F04365">
        <w:rPr>
          <w:b/>
        </w:rPr>
        <w:t>2015</w:t>
      </w:r>
      <w:r w:rsidRPr="00F04365">
        <w:t>, 6, 2108-2114</w:t>
      </w:r>
      <w:r>
        <w:t>.</w:t>
      </w:r>
    </w:p>
    <w:p w14:paraId="0EBDE177" w14:textId="55C552CC" w:rsidR="00F04365" w:rsidRDefault="00F04365" w:rsidP="00F04365">
      <w:pPr>
        <w:pStyle w:val="References"/>
        <w:rPr>
          <w:lang w:val="it-IT"/>
        </w:rPr>
      </w:pPr>
      <w:r>
        <w:t>[5]</w:t>
      </w:r>
      <w:r>
        <w:tab/>
      </w:r>
      <w:r w:rsidRPr="00F04365">
        <w:rPr>
          <w:lang w:val="it-IT"/>
        </w:rPr>
        <w:t xml:space="preserve">a) J. Dai, S. Ma, X. Liu, L. Han, Y. Wu, X. Dai, J. Zhu, </w:t>
      </w:r>
      <w:r w:rsidRPr="00F04365">
        <w:rPr>
          <w:i/>
          <w:lang w:val="it-IT"/>
        </w:rPr>
        <w:t>Prog. Org. Coat.</w:t>
      </w:r>
      <w:r w:rsidRPr="00F04365">
        <w:rPr>
          <w:lang w:val="it-IT"/>
        </w:rPr>
        <w:t xml:space="preserve"> </w:t>
      </w:r>
      <w:r w:rsidRPr="00F04365">
        <w:rPr>
          <w:b/>
          <w:lang w:val="it-IT"/>
        </w:rPr>
        <w:t>2015</w:t>
      </w:r>
      <w:r w:rsidRPr="00F04365">
        <w:rPr>
          <w:lang w:val="it-IT"/>
        </w:rPr>
        <w:t xml:space="preserve">, </w:t>
      </w:r>
      <w:r w:rsidRPr="00F04365">
        <w:rPr>
          <w:i/>
          <w:lang w:val="it-IT"/>
        </w:rPr>
        <w:t>78</w:t>
      </w:r>
      <w:r w:rsidRPr="00F04365">
        <w:rPr>
          <w:lang w:val="it-IT"/>
        </w:rPr>
        <w:t>, 49–</w:t>
      </w:r>
      <w:r>
        <w:rPr>
          <w:lang w:val="it-IT"/>
        </w:rPr>
        <w:t xml:space="preserve">54; </w:t>
      </w:r>
      <w:r w:rsidRPr="00F04365">
        <w:rPr>
          <w:lang w:val="it-IT"/>
        </w:rPr>
        <w:t xml:space="preserve">b) J. Dai, S. Ma, Y. Wu, J. Zhu, X. Liu, </w:t>
      </w:r>
      <w:r w:rsidRPr="00F04365">
        <w:rPr>
          <w:i/>
          <w:lang w:val="it-IT"/>
        </w:rPr>
        <w:t>Prog. Org. Coat.</w:t>
      </w:r>
      <w:r w:rsidRPr="00F04365">
        <w:rPr>
          <w:lang w:val="it-IT"/>
        </w:rPr>
        <w:t xml:space="preserve"> </w:t>
      </w:r>
      <w:r w:rsidRPr="00F04365">
        <w:rPr>
          <w:b/>
          <w:lang w:val="it-IT"/>
        </w:rPr>
        <w:t>2015</w:t>
      </w:r>
      <w:r w:rsidRPr="00F04365">
        <w:rPr>
          <w:lang w:val="it-IT"/>
        </w:rPr>
        <w:t xml:space="preserve">, </w:t>
      </w:r>
      <w:r w:rsidRPr="00F04365">
        <w:rPr>
          <w:i/>
          <w:lang w:val="it-IT"/>
        </w:rPr>
        <w:t>87</w:t>
      </w:r>
      <w:r w:rsidRPr="00F04365">
        <w:rPr>
          <w:lang w:val="it-IT"/>
        </w:rPr>
        <w:t>, 197–</w:t>
      </w:r>
      <w:r>
        <w:rPr>
          <w:lang w:val="it-IT"/>
        </w:rPr>
        <w:t xml:space="preserve">203; </w:t>
      </w:r>
      <w:r w:rsidRPr="00F04365">
        <w:rPr>
          <w:lang w:val="it-IT"/>
        </w:rPr>
        <w:t xml:space="preserve">J. Dai, S. Ma, Y. Wu, L. Han, L. Zhang, J. Zhu, X. Liu, </w:t>
      </w:r>
      <w:r w:rsidRPr="00F04365">
        <w:rPr>
          <w:i/>
          <w:lang w:val="it-IT"/>
        </w:rPr>
        <w:t>Green Chem.</w:t>
      </w:r>
      <w:r w:rsidRPr="00F04365">
        <w:rPr>
          <w:lang w:val="it-IT"/>
        </w:rPr>
        <w:t xml:space="preserve"> </w:t>
      </w:r>
      <w:r w:rsidRPr="00F04365">
        <w:rPr>
          <w:b/>
          <w:lang w:val="it-IT"/>
        </w:rPr>
        <w:t>2015</w:t>
      </w:r>
      <w:r w:rsidRPr="00F04365">
        <w:rPr>
          <w:lang w:val="it-IT"/>
        </w:rPr>
        <w:t xml:space="preserve">, </w:t>
      </w:r>
      <w:r w:rsidRPr="00F04365">
        <w:rPr>
          <w:i/>
          <w:lang w:val="it-IT"/>
        </w:rPr>
        <w:t>17</w:t>
      </w:r>
      <w:r w:rsidRPr="00F04365">
        <w:rPr>
          <w:lang w:val="it-IT"/>
        </w:rPr>
        <w:t>, 2383–2392.</w:t>
      </w:r>
    </w:p>
    <w:p w14:paraId="0E06374D" w14:textId="53327E7C" w:rsidR="00F04365" w:rsidRPr="00783190" w:rsidRDefault="00F04365" w:rsidP="00783190">
      <w:pPr>
        <w:pStyle w:val="References"/>
        <w:rPr>
          <w:lang w:val="de-DE"/>
        </w:rPr>
      </w:pPr>
      <w:r>
        <w:rPr>
          <w:lang w:val="it-IT"/>
        </w:rPr>
        <w:t>[6]</w:t>
      </w:r>
      <w:r w:rsidR="00783190">
        <w:rPr>
          <w:lang w:val="it-IT"/>
        </w:rPr>
        <w:tab/>
      </w:r>
      <w:r w:rsidR="00783190" w:rsidRPr="00783190">
        <w:rPr>
          <w:lang w:val="de-DE"/>
        </w:rPr>
        <w:t>B. Guo, Y. Chen, Y. Lei, L. Zhang, W. Y. Zhou,</w:t>
      </w:r>
      <w:r w:rsidR="00783190">
        <w:rPr>
          <w:lang w:val="de-DE"/>
        </w:rPr>
        <w:t xml:space="preserve"> </w:t>
      </w:r>
      <w:r w:rsidR="00783190" w:rsidRPr="00783190">
        <w:rPr>
          <w:lang w:val="de-DE"/>
        </w:rPr>
        <w:t xml:space="preserve">A. B. M. Rabie, J. Zhao, </w:t>
      </w:r>
      <w:r w:rsidR="00783190" w:rsidRPr="00783190">
        <w:rPr>
          <w:i/>
          <w:lang w:val="de-DE"/>
        </w:rPr>
        <w:t>Biomacromolecules</w:t>
      </w:r>
      <w:r w:rsidR="00783190" w:rsidRPr="00783190">
        <w:rPr>
          <w:lang w:val="de-DE"/>
        </w:rPr>
        <w:t xml:space="preserve"> </w:t>
      </w:r>
      <w:r w:rsidR="00783190" w:rsidRPr="00783190">
        <w:rPr>
          <w:b/>
          <w:lang w:val="de-DE"/>
        </w:rPr>
        <w:t>2011</w:t>
      </w:r>
      <w:r w:rsidR="00783190" w:rsidRPr="00783190">
        <w:rPr>
          <w:lang w:val="de-DE"/>
        </w:rPr>
        <w:t xml:space="preserve">, </w:t>
      </w:r>
      <w:r w:rsidR="00783190" w:rsidRPr="00783190">
        <w:rPr>
          <w:i/>
          <w:lang w:val="de-DE"/>
        </w:rPr>
        <w:t>12</w:t>
      </w:r>
      <w:r w:rsidR="00783190" w:rsidRPr="00783190">
        <w:rPr>
          <w:lang w:val="de-DE"/>
        </w:rPr>
        <w:t xml:space="preserve">, </w:t>
      </w:r>
      <w:r w:rsidR="00783190" w:rsidRPr="00783190">
        <w:rPr>
          <w:lang w:val="de-AT"/>
        </w:rPr>
        <w:t>1312–1321.</w:t>
      </w:r>
    </w:p>
    <w:p w14:paraId="5E150F49" w14:textId="54B399C5" w:rsidR="00F04365" w:rsidRPr="00783190" w:rsidRDefault="00F04365" w:rsidP="00783190">
      <w:pPr>
        <w:pStyle w:val="References"/>
        <w:rPr>
          <w:lang w:val="de-AT"/>
        </w:rPr>
      </w:pPr>
      <w:r>
        <w:rPr>
          <w:lang w:val="it-IT"/>
        </w:rPr>
        <w:t>[7]</w:t>
      </w:r>
      <w:r w:rsidR="00783190">
        <w:rPr>
          <w:lang w:val="it-IT"/>
        </w:rPr>
        <w:tab/>
      </w:r>
      <w:r w:rsidR="00783190" w:rsidRPr="00783190">
        <w:rPr>
          <w:lang w:val="de-AT"/>
        </w:rPr>
        <w:t>T. Wei, L. Lei, H. Kang, B. Qiao, Z. Wang, L. Zhang,</w:t>
      </w:r>
      <w:r w:rsidR="00783190">
        <w:rPr>
          <w:lang w:val="de-AT"/>
        </w:rPr>
        <w:t xml:space="preserve"> </w:t>
      </w:r>
      <w:r w:rsidR="00783190" w:rsidRPr="00783190">
        <w:rPr>
          <w:lang w:val="de-DE"/>
        </w:rPr>
        <w:t xml:space="preserve">P. Coates, K.-C. Hua, J. Kulig, </w:t>
      </w:r>
      <w:r w:rsidR="00783190" w:rsidRPr="00783190">
        <w:rPr>
          <w:i/>
          <w:lang w:val="de-DE"/>
        </w:rPr>
        <w:t xml:space="preserve">Adv. Eng. </w:t>
      </w:r>
      <w:r w:rsidR="00783190" w:rsidRPr="00783190">
        <w:rPr>
          <w:i/>
          <w:lang w:val="it-IT"/>
        </w:rPr>
        <w:t xml:space="preserve">Mater. </w:t>
      </w:r>
      <w:r w:rsidR="00783190" w:rsidRPr="00783190">
        <w:rPr>
          <w:b/>
          <w:lang w:val="it-IT"/>
        </w:rPr>
        <w:t>2012</w:t>
      </w:r>
      <w:r w:rsidR="00783190" w:rsidRPr="00783190">
        <w:rPr>
          <w:lang w:val="it-IT"/>
        </w:rPr>
        <w:t xml:space="preserve">, </w:t>
      </w:r>
      <w:r w:rsidR="00783190" w:rsidRPr="00783190">
        <w:rPr>
          <w:i/>
          <w:lang w:val="it-IT"/>
        </w:rPr>
        <w:t>14</w:t>
      </w:r>
      <w:r w:rsidR="00783190" w:rsidRPr="00783190">
        <w:rPr>
          <w:lang w:val="it-IT"/>
        </w:rPr>
        <w:t>, 112–118.</w:t>
      </w:r>
    </w:p>
    <w:p w14:paraId="0149569F" w14:textId="2AD7120F" w:rsidR="00F04365" w:rsidRDefault="00F04365" w:rsidP="00F04365">
      <w:pPr>
        <w:pStyle w:val="References"/>
        <w:rPr>
          <w:lang w:val="it-IT"/>
        </w:rPr>
      </w:pPr>
      <w:r>
        <w:rPr>
          <w:lang w:val="it-IT"/>
        </w:rPr>
        <w:t>[8]</w:t>
      </w:r>
      <w:r w:rsidR="00783190">
        <w:rPr>
          <w:lang w:val="it-IT"/>
        </w:rPr>
        <w:tab/>
      </w:r>
      <w:r w:rsidR="00783190" w:rsidRPr="00783190">
        <w:rPr>
          <w:lang w:val="de-DE"/>
        </w:rPr>
        <w:t xml:space="preserve">M. Singh, R. Rathi, A. Singh, J. Heller, G. P. Talwar, J. Kopecek, </w:t>
      </w:r>
      <w:r w:rsidR="00783190" w:rsidRPr="00783190">
        <w:rPr>
          <w:i/>
          <w:lang w:val="de-DE"/>
        </w:rPr>
        <w:t>Int. J. Pharm.</w:t>
      </w:r>
      <w:r w:rsidR="00783190" w:rsidRPr="00783190">
        <w:rPr>
          <w:lang w:val="de-DE"/>
        </w:rPr>
        <w:t xml:space="preserve"> </w:t>
      </w:r>
      <w:r w:rsidR="00783190" w:rsidRPr="00783190">
        <w:rPr>
          <w:b/>
          <w:lang w:val="de-DE"/>
        </w:rPr>
        <w:t>1991</w:t>
      </w:r>
      <w:r w:rsidR="00783190" w:rsidRPr="00783190">
        <w:rPr>
          <w:lang w:val="de-DE"/>
        </w:rPr>
        <w:t xml:space="preserve">, </w:t>
      </w:r>
      <w:r w:rsidR="00783190" w:rsidRPr="00783190">
        <w:rPr>
          <w:i/>
          <w:lang w:val="de-DE"/>
        </w:rPr>
        <w:t>76</w:t>
      </w:r>
      <w:r w:rsidR="00783190" w:rsidRPr="00783190">
        <w:rPr>
          <w:lang w:val="de-DE"/>
        </w:rPr>
        <w:t>, R5–R8.</w:t>
      </w:r>
    </w:p>
    <w:p w14:paraId="37D296DD" w14:textId="3CDB3272" w:rsidR="00F04365" w:rsidRPr="000D5B52" w:rsidRDefault="00F04365" w:rsidP="000D5B52">
      <w:pPr>
        <w:pStyle w:val="References"/>
        <w:rPr>
          <w:lang w:val="de-DE"/>
        </w:rPr>
      </w:pPr>
      <w:r>
        <w:rPr>
          <w:lang w:val="it-IT"/>
        </w:rPr>
        <w:t>[9]</w:t>
      </w:r>
      <w:r w:rsidR="00783190">
        <w:rPr>
          <w:lang w:val="it-IT"/>
        </w:rPr>
        <w:tab/>
      </w:r>
      <w:r w:rsidR="00DA32C0" w:rsidRPr="00DA32C0">
        <w:rPr>
          <w:lang w:val="de-DE"/>
        </w:rPr>
        <w:t>V.</w:t>
      </w:r>
      <w:r w:rsidR="000D5B52">
        <w:rPr>
          <w:lang w:val="de-DE"/>
        </w:rPr>
        <w:t xml:space="preserve"> </w:t>
      </w:r>
      <w:r w:rsidR="00DA32C0" w:rsidRPr="00DA32C0">
        <w:rPr>
          <w:lang w:val="de-DE"/>
        </w:rPr>
        <w:t>V. Panic, S.</w:t>
      </w:r>
      <w:r w:rsidR="000D5B52">
        <w:rPr>
          <w:lang w:val="de-DE"/>
        </w:rPr>
        <w:t xml:space="preserve"> </w:t>
      </w:r>
      <w:r w:rsidR="00DA32C0" w:rsidRPr="00DA32C0">
        <w:rPr>
          <w:lang w:val="de-DE"/>
        </w:rPr>
        <w:t>I. Seslija, I.</w:t>
      </w:r>
      <w:r w:rsidR="000D5B52">
        <w:rPr>
          <w:lang w:val="de-DE"/>
        </w:rPr>
        <w:t xml:space="preserve"> </w:t>
      </w:r>
      <w:r w:rsidR="00DA32C0" w:rsidRPr="00DA32C0">
        <w:rPr>
          <w:lang w:val="de-DE"/>
        </w:rPr>
        <w:t>G. Popovic, V.</w:t>
      </w:r>
      <w:r w:rsidR="000D5B52">
        <w:rPr>
          <w:lang w:val="de-DE"/>
        </w:rPr>
        <w:t xml:space="preserve"> </w:t>
      </w:r>
      <w:r w:rsidR="00DA32C0" w:rsidRPr="00DA32C0">
        <w:rPr>
          <w:lang w:val="de-DE"/>
        </w:rPr>
        <w:t>D. Spasojevic, A.</w:t>
      </w:r>
      <w:r w:rsidR="000D5B52">
        <w:rPr>
          <w:lang w:val="de-DE"/>
        </w:rPr>
        <w:t xml:space="preserve"> </w:t>
      </w:r>
      <w:r w:rsidR="00DA32C0" w:rsidRPr="00DA32C0">
        <w:rPr>
          <w:lang w:val="de-DE"/>
        </w:rPr>
        <w:t>R. Popovic, V.</w:t>
      </w:r>
      <w:r w:rsidR="000D5B52">
        <w:rPr>
          <w:lang w:val="de-DE"/>
        </w:rPr>
        <w:t xml:space="preserve"> </w:t>
      </w:r>
      <w:r w:rsidR="00DA32C0" w:rsidRPr="00DA32C0">
        <w:rPr>
          <w:lang w:val="de-DE"/>
        </w:rPr>
        <w:t>B. Nikolic and P.</w:t>
      </w:r>
      <w:r w:rsidR="000D5B52">
        <w:rPr>
          <w:lang w:val="de-DE"/>
        </w:rPr>
        <w:t xml:space="preserve"> </w:t>
      </w:r>
      <w:r w:rsidR="00DA32C0" w:rsidRPr="00DA32C0">
        <w:rPr>
          <w:lang w:val="de-DE"/>
        </w:rPr>
        <w:t xml:space="preserve">M. Spasojevic, </w:t>
      </w:r>
      <w:r w:rsidR="00DA32C0" w:rsidRPr="00DA32C0">
        <w:rPr>
          <w:i/>
          <w:lang w:val="de-DE"/>
        </w:rPr>
        <w:t>Biomacromolecules</w:t>
      </w:r>
      <w:r w:rsidR="00DA32C0" w:rsidRPr="00DA32C0">
        <w:rPr>
          <w:lang w:val="de-DE"/>
        </w:rPr>
        <w:t xml:space="preserve"> </w:t>
      </w:r>
      <w:r w:rsidR="00DA32C0" w:rsidRPr="00DA32C0">
        <w:rPr>
          <w:b/>
          <w:lang w:val="de-DE"/>
        </w:rPr>
        <w:t>2017</w:t>
      </w:r>
      <w:r w:rsidR="00DA32C0" w:rsidRPr="00DA32C0">
        <w:rPr>
          <w:lang w:val="de-DE"/>
        </w:rPr>
        <w:t xml:space="preserve">, </w:t>
      </w:r>
      <w:r w:rsidR="00DA32C0" w:rsidRPr="00DA32C0">
        <w:rPr>
          <w:i/>
          <w:lang w:val="de-DE"/>
        </w:rPr>
        <w:t>18</w:t>
      </w:r>
      <w:r w:rsidR="00DA32C0" w:rsidRPr="00DA32C0">
        <w:rPr>
          <w:lang w:val="de-DE"/>
        </w:rPr>
        <w:t>, 3881–3891.</w:t>
      </w:r>
    </w:p>
    <w:p w14:paraId="4DDB1645" w14:textId="57D9AAC2" w:rsidR="00783190" w:rsidRPr="00F04365" w:rsidRDefault="00783190" w:rsidP="00783190">
      <w:pPr>
        <w:pStyle w:val="References"/>
        <w:rPr>
          <w:lang w:val="it-IT"/>
        </w:rPr>
      </w:pPr>
      <w:r>
        <w:rPr>
          <w:lang w:val="it-IT"/>
        </w:rPr>
        <w:t>[10]</w:t>
      </w:r>
      <w:r>
        <w:rPr>
          <w:lang w:val="it-IT"/>
        </w:rPr>
        <w:tab/>
      </w:r>
      <w:r w:rsidR="000D5B52" w:rsidRPr="000D5B52">
        <w:rPr>
          <w:lang w:val="de-DE"/>
        </w:rPr>
        <w:t xml:space="preserve">N. Teramoto, M. Ozeki, I. Fujiwara, M. Shibata, </w:t>
      </w:r>
      <w:r w:rsidR="00575627" w:rsidRPr="00575627">
        <w:rPr>
          <w:i/>
          <w:lang w:val="de-DE"/>
        </w:rPr>
        <w:tab/>
        <w:t>J. Appl. Polym. Sci.</w:t>
      </w:r>
      <w:r w:rsidR="000D5B52" w:rsidRPr="000D5B52">
        <w:rPr>
          <w:lang w:val="de-DE"/>
        </w:rPr>
        <w:t xml:space="preserve"> </w:t>
      </w:r>
      <w:r w:rsidR="000D5B52" w:rsidRPr="000D5B52">
        <w:rPr>
          <w:b/>
          <w:lang w:val="de-DE"/>
        </w:rPr>
        <w:t>2005</w:t>
      </w:r>
      <w:r w:rsidR="000D5B52" w:rsidRPr="000D5B52">
        <w:rPr>
          <w:lang w:val="de-DE"/>
        </w:rPr>
        <w:t xml:space="preserve">, </w:t>
      </w:r>
      <w:r w:rsidR="000D5B52" w:rsidRPr="000D5B52">
        <w:rPr>
          <w:i/>
          <w:lang w:val="de-DE"/>
        </w:rPr>
        <w:t>95</w:t>
      </w:r>
      <w:r w:rsidR="000D5B52" w:rsidRPr="000D5B52">
        <w:rPr>
          <w:lang w:val="de-DE"/>
        </w:rPr>
        <w:t>, 1473–1480.</w:t>
      </w:r>
    </w:p>
    <w:p w14:paraId="68F22C5B" w14:textId="346B0F1C" w:rsidR="00783190" w:rsidRPr="00F04365" w:rsidRDefault="00783190" w:rsidP="00783190">
      <w:pPr>
        <w:pStyle w:val="References"/>
        <w:rPr>
          <w:lang w:val="it-IT"/>
        </w:rPr>
      </w:pPr>
      <w:r>
        <w:rPr>
          <w:lang w:val="it-IT"/>
        </w:rPr>
        <w:t>[11]</w:t>
      </w:r>
      <w:r>
        <w:rPr>
          <w:lang w:val="it-IT"/>
        </w:rPr>
        <w:tab/>
      </w:r>
      <w:r w:rsidR="000D5B52" w:rsidRPr="000D5B52">
        <w:rPr>
          <w:lang w:val="de-DE"/>
        </w:rPr>
        <w:t xml:space="preserve">A.Takasu, M. Ito, Y. Inai, T. Hirabayashi, Y. Nishimura, </w:t>
      </w:r>
      <w:r w:rsidR="000D5B52" w:rsidRPr="000D5B52">
        <w:rPr>
          <w:i/>
          <w:lang w:val="de-DE"/>
        </w:rPr>
        <w:t>Polym</w:t>
      </w:r>
      <w:r w:rsidR="00575627">
        <w:rPr>
          <w:i/>
          <w:lang w:val="de-DE"/>
        </w:rPr>
        <w:t>.</w:t>
      </w:r>
      <w:r w:rsidR="000D5B52" w:rsidRPr="000D5B52">
        <w:rPr>
          <w:i/>
          <w:lang w:val="de-DE"/>
        </w:rPr>
        <w:t xml:space="preserve"> J</w:t>
      </w:r>
      <w:r w:rsidR="00575627">
        <w:rPr>
          <w:i/>
          <w:lang w:val="de-DE"/>
        </w:rPr>
        <w:t>.</w:t>
      </w:r>
      <w:r w:rsidR="000D5B52" w:rsidRPr="000D5B52">
        <w:rPr>
          <w:lang w:val="de-DE"/>
        </w:rPr>
        <w:t xml:space="preserve"> </w:t>
      </w:r>
      <w:r w:rsidR="000D5B52" w:rsidRPr="000D5B52">
        <w:rPr>
          <w:b/>
          <w:lang w:val="de-DE"/>
        </w:rPr>
        <w:t>1999</w:t>
      </w:r>
      <w:r w:rsidR="000D5B52" w:rsidRPr="000D5B52">
        <w:rPr>
          <w:lang w:val="de-DE"/>
        </w:rPr>
        <w:t xml:space="preserve">, </w:t>
      </w:r>
      <w:r w:rsidR="000D5B52" w:rsidRPr="000D5B52">
        <w:rPr>
          <w:i/>
          <w:lang w:val="de-DE"/>
        </w:rPr>
        <w:t>31</w:t>
      </w:r>
      <w:r w:rsidR="000D5B52" w:rsidRPr="000D5B52">
        <w:rPr>
          <w:lang w:val="de-DE"/>
        </w:rPr>
        <w:t>, 961-969.</w:t>
      </w:r>
    </w:p>
    <w:p w14:paraId="2D9C905A" w14:textId="6F567FEB" w:rsidR="00783190" w:rsidRPr="00F04365" w:rsidRDefault="00783190" w:rsidP="00783190">
      <w:pPr>
        <w:pStyle w:val="References"/>
        <w:rPr>
          <w:lang w:val="it-IT"/>
        </w:rPr>
      </w:pPr>
      <w:r>
        <w:rPr>
          <w:lang w:val="it-IT"/>
        </w:rPr>
        <w:t>[12]</w:t>
      </w:r>
      <w:r>
        <w:rPr>
          <w:lang w:val="it-IT"/>
        </w:rPr>
        <w:tab/>
      </w:r>
      <w:r w:rsidR="000D5B52" w:rsidRPr="000D5B52">
        <w:rPr>
          <w:lang w:val="de-DE"/>
        </w:rPr>
        <w:t xml:space="preserve">T. J. Farmer,  J. H. Clark,  D. J. Macquarrie,  J. K. Ogunjobi, R. L. Castle, </w:t>
      </w:r>
      <w:r w:rsidR="000D5B52" w:rsidRPr="000D5B52">
        <w:rPr>
          <w:i/>
          <w:lang w:val="de-DE"/>
        </w:rPr>
        <w:t>Polym. Chem.</w:t>
      </w:r>
      <w:r w:rsidR="000D5B52" w:rsidRPr="000D5B52">
        <w:rPr>
          <w:lang w:val="de-DE"/>
        </w:rPr>
        <w:t xml:space="preserve"> </w:t>
      </w:r>
      <w:r w:rsidR="000D5B52" w:rsidRPr="000D5B52">
        <w:rPr>
          <w:b/>
          <w:lang w:val="de-DE"/>
        </w:rPr>
        <w:t>2016</w:t>
      </w:r>
      <w:r w:rsidR="000D5B52" w:rsidRPr="000D5B52">
        <w:rPr>
          <w:lang w:val="de-DE"/>
        </w:rPr>
        <w:t xml:space="preserve">, </w:t>
      </w:r>
      <w:r w:rsidR="000D5B52" w:rsidRPr="000D5B52">
        <w:rPr>
          <w:i/>
          <w:lang w:val="de-DE"/>
        </w:rPr>
        <w:t>7</w:t>
      </w:r>
      <w:r w:rsidR="000D5B52" w:rsidRPr="000D5B52">
        <w:rPr>
          <w:lang w:val="de-DE"/>
        </w:rPr>
        <w:t>, 1650-1658.</w:t>
      </w:r>
    </w:p>
    <w:p w14:paraId="6A5A98BF" w14:textId="2DCF995E" w:rsidR="00783190" w:rsidRPr="000D5B52" w:rsidRDefault="00783190" w:rsidP="000D5B52">
      <w:pPr>
        <w:pStyle w:val="References"/>
        <w:rPr>
          <w:lang w:val="de-DE"/>
        </w:rPr>
      </w:pPr>
      <w:r>
        <w:rPr>
          <w:lang w:val="it-IT"/>
        </w:rPr>
        <w:t>[13]</w:t>
      </w:r>
      <w:r>
        <w:rPr>
          <w:lang w:val="it-IT"/>
        </w:rPr>
        <w:tab/>
      </w:r>
      <w:r w:rsidR="000D5B52">
        <w:rPr>
          <w:lang w:val="it-IT"/>
        </w:rPr>
        <w:t xml:space="preserve">a) </w:t>
      </w:r>
      <w:r w:rsidR="000D5B52" w:rsidRPr="000D5B52">
        <w:rPr>
          <w:lang w:val="de-DE"/>
        </w:rPr>
        <w:t xml:space="preserve">A. Lv, Z-L. Li, F-S. Du, Z-C. Li, </w:t>
      </w:r>
      <w:r w:rsidR="000D5B52" w:rsidRPr="000D5B52">
        <w:rPr>
          <w:i/>
          <w:lang w:val="de-DE"/>
        </w:rPr>
        <w:t xml:space="preserve">Macromolecules </w:t>
      </w:r>
      <w:r w:rsidR="000D5B52" w:rsidRPr="000D5B52">
        <w:rPr>
          <w:b/>
          <w:lang w:val="de-DE"/>
        </w:rPr>
        <w:t>2014</w:t>
      </w:r>
      <w:r w:rsidR="000D5B52" w:rsidRPr="000D5B52">
        <w:rPr>
          <w:lang w:val="de-DE"/>
        </w:rPr>
        <w:t xml:space="preserve">, </w:t>
      </w:r>
      <w:r w:rsidR="000D5B52" w:rsidRPr="000D5B52">
        <w:rPr>
          <w:i/>
          <w:lang w:val="de-DE"/>
        </w:rPr>
        <w:t>47</w:t>
      </w:r>
      <w:r w:rsidR="00575627">
        <w:rPr>
          <w:lang w:val="de-DE"/>
        </w:rPr>
        <w:t>, 7707-7716.</w:t>
      </w:r>
    </w:p>
    <w:p w14:paraId="30A2BF3D" w14:textId="08C00829" w:rsidR="00783190" w:rsidRPr="001D79FD" w:rsidRDefault="00783190" w:rsidP="001D79FD">
      <w:pPr>
        <w:pStyle w:val="References"/>
        <w:rPr>
          <w:lang w:val="de-DE"/>
        </w:rPr>
      </w:pPr>
      <w:r>
        <w:rPr>
          <w:lang w:val="it-IT"/>
        </w:rPr>
        <w:t>[14]</w:t>
      </w:r>
      <w:r>
        <w:rPr>
          <w:lang w:val="it-IT"/>
        </w:rPr>
        <w:tab/>
      </w:r>
      <w:r w:rsidR="001D79FD" w:rsidRPr="001D79FD">
        <w:rPr>
          <w:lang w:val="de-DE"/>
        </w:rPr>
        <w:t>L. Corici, A. Pellis, V. Ferrario, C. Ebert,</w:t>
      </w:r>
      <w:r w:rsidR="001D79FD">
        <w:rPr>
          <w:lang w:val="de-DE"/>
        </w:rPr>
        <w:t xml:space="preserve"> </w:t>
      </w:r>
      <w:r w:rsidR="001D79FD" w:rsidRPr="001D79FD">
        <w:rPr>
          <w:lang w:val="de-DE"/>
        </w:rPr>
        <w:t>S. Cantone</w:t>
      </w:r>
      <w:r w:rsidR="001D79FD">
        <w:rPr>
          <w:lang w:val="de-DE"/>
        </w:rPr>
        <w:t>,</w:t>
      </w:r>
      <w:r w:rsidR="001D79FD" w:rsidRPr="001D79FD">
        <w:rPr>
          <w:lang w:val="de-DE"/>
        </w:rPr>
        <w:t xml:space="preserve"> L. Gardossi, </w:t>
      </w:r>
      <w:r w:rsidR="001D79FD" w:rsidRPr="001D79FD">
        <w:rPr>
          <w:i/>
          <w:lang w:val="de-DE"/>
        </w:rPr>
        <w:t>Adv. Synth. Catal.</w:t>
      </w:r>
      <w:r w:rsidR="001D79FD" w:rsidRPr="001D79FD">
        <w:rPr>
          <w:lang w:val="de-DE"/>
        </w:rPr>
        <w:t xml:space="preserve"> </w:t>
      </w:r>
      <w:r w:rsidR="001D79FD" w:rsidRPr="001D79FD">
        <w:rPr>
          <w:b/>
          <w:lang w:val="de-DE"/>
        </w:rPr>
        <w:t>2015</w:t>
      </w:r>
      <w:r w:rsidR="001D79FD" w:rsidRPr="001D79FD">
        <w:rPr>
          <w:lang w:val="de-DE"/>
        </w:rPr>
        <w:t xml:space="preserve">, </w:t>
      </w:r>
      <w:r w:rsidR="001D79FD" w:rsidRPr="001D79FD">
        <w:rPr>
          <w:i/>
          <w:lang w:val="de-DE"/>
        </w:rPr>
        <w:t>357</w:t>
      </w:r>
      <w:r w:rsidR="001D79FD" w:rsidRPr="001D79FD">
        <w:rPr>
          <w:lang w:val="de-DE"/>
        </w:rPr>
        <w:t>, 1763 –1774.</w:t>
      </w:r>
    </w:p>
    <w:p w14:paraId="6E8F578E" w14:textId="54D924F7" w:rsidR="00783190" w:rsidRPr="00F04365" w:rsidRDefault="00783190" w:rsidP="00783190">
      <w:pPr>
        <w:pStyle w:val="References"/>
        <w:rPr>
          <w:lang w:val="it-IT"/>
        </w:rPr>
      </w:pPr>
      <w:r>
        <w:rPr>
          <w:lang w:val="it-IT"/>
        </w:rPr>
        <w:t>[15]</w:t>
      </w:r>
      <w:r>
        <w:rPr>
          <w:lang w:val="it-IT"/>
        </w:rPr>
        <w:tab/>
      </w:r>
      <w:r w:rsidR="00A0204A" w:rsidRPr="00A0204A">
        <w:rPr>
          <w:lang w:val="de-DE"/>
        </w:rPr>
        <w:t xml:space="preserve">B. C. Ranu, S. D. Suvendu, A. Hajra, </w:t>
      </w:r>
      <w:r w:rsidR="00A0204A" w:rsidRPr="00A0204A">
        <w:rPr>
          <w:i/>
          <w:lang w:val="de-DE"/>
        </w:rPr>
        <w:t>Arkivoc</w:t>
      </w:r>
      <w:r w:rsidR="00A0204A" w:rsidRPr="00A0204A">
        <w:rPr>
          <w:lang w:val="de-DE"/>
        </w:rPr>
        <w:t xml:space="preserve"> </w:t>
      </w:r>
      <w:r w:rsidR="00A0204A" w:rsidRPr="00A0204A">
        <w:rPr>
          <w:b/>
          <w:lang w:val="de-DE"/>
        </w:rPr>
        <w:t>2002</w:t>
      </w:r>
      <w:r w:rsidR="00A0204A" w:rsidRPr="00A0204A">
        <w:rPr>
          <w:lang w:val="de-DE"/>
        </w:rPr>
        <w:t xml:space="preserve">, </w:t>
      </w:r>
      <w:r w:rsidR="00A0204A" w:rsidRPr="00A0204A">
        <w:rPr>
          <w:i/>
          <w:lang w:val="de-DE"/>
        </w:rPr>
        <w:t>vii</w:t>
      </w:r>
      <w:r w:rsidR="00A0204A" w:rsidRPr="00A0204A">
        <w:rPr>
          <w:lang w:val="de-DE"/>
        </w:rPr>
        <w:t>, 76-81.</w:t>
      </w:r>
    </w:p>
    <w:p w14:paraId="3A95884B" w14:textId="2823F836" w:rsidR="00773C4B" w:rsidRPr="00A0204A" w:rsidRDefault="00783190" w:rsidP="00A0204A">
      <w:pPr>
        <w:pStyle w:val="References"/>
        <w:rPr>
          <w:lang w:val="it-IT"/>
        </w:rPr>
        <w:sectPr w:rsidR="00773C4B" w:rsidRPr="00A0204A" w:rsidSect="0095126A">
          <w:type w:val="continuous"/>
          <w:pgSz w:w="11906" w:h="16838" w:code="9"/>
          <w:pgMar w:top="1673" w:right="936" w:bottom="1134" w:left="936" w:header="709" w:footer="709" w:gutter="0"/>
          <w:cols w:num="2" w:space="284"/>
          <w:docGrid w:linePitch="360"/>
        </w:sectPr>
      </w:pPr>
      <w:r>
        <w:rPr>
          <w:lang w:val="it-IT"/>
        </w:rPr>
        <w:t>[16]</w:t>
      </w:r>
      <w:r>
        <w:rPr>
          <w:lang w:val="it-IT"/>
        </w:rPr>
        <w:tab/>
      </w:r>
      <w:r w:rsidR="00A0204A" w:rsidRPr="00A0204A">
        <w:rPr>
          <w:lang w:val="de-DE"/>
        </w:rPr>
        <w:t xml:space="preserve">N. Tanchoux, C. de Bellefon, </w:t>
      </w:r>
      <w:r w:rsidR="00EF65B7" w:rsidRPr="00EF65B7">
        <w:rPr>
          <w:i/>
          <w:lang w:val="de-DE"/>
        </w:rPr>
        <w:tab/>
        <w:t xml:space="preserve">Eur. J. Inorg. Chem. </w:t>
      </w:r>
      <w:r w:rsidR="00A0204A" w:rsidRPr="00A0204A">
        <w:rPr>
          <w:b/>
          <w:lang w:val="de-DE"/>
        </w:rPr>
        <w:t>2000</w:t>
      </w:r>
      <w:r w:rsidR="00A0204A" w:rsidRPr="00A0204A">
        <w:rPr>
          <w:lang w:val="de-DE"/>
        </w:rPr>
        <w:t xml:space="preserve">, </w:t>
      </w:r>
      <w:r w:rsidR="00A0204A" w:rsidRPr="00A0204A">
        <w:rPr>
          <w:i/>
          <w:lang w:val="de-DE"/>
        </w:rPr>
        <w:t>7</w:t>
      </w:r>
      <w:r w:rsidR="00A0204A" w:rsidRPr="00A0204A">
        <w:rPr>
          <w:lang w:val="de-DE"/>
        </w:rPr>
        <w:t>, 1495-1502.</w:t>
      </w:r>
    </w:p>
    <w:p w14:paraId="5F9208A0" w14:textId="63E1CCAA"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bookmarkStart w:id="8" w:name="_GoBack"/>
      <w:bookmarkEnd w:id="8"/>
    </w:p>
    <w:p w14:paraId="0061C2F0" w14:textId="77777777" w:rsidR="00773C4B" w:rsidRDefault="00773C4B" w:rsidP="00773C4B">
      <w:pPr>
        <w:rPr>
          <w:bCs/>
          <w:lang w:val="en-GB"/>
        </w:rPr>
      </w:pPr>
    </w:p>
    <w:p w14:paraId="663D10AA" w14:textId="70A81081" w:rsidR="007E773A" w:rsidRPr="00621868" w:rsidRDefault="007E773A" w:rsidP="00E857A3">
      <w:pPr>
        <w:rPr>
          <w:lang w:val="en-GB"/>
        </w:rPr>
      </w:pPr>
      <w:r w:rsidRPr="00621868">
        <w:rPr>
          <w:b/>
          <w:lang w:val="en-GB"/>
        </w:rPr>
        <w:t>Entry for the Table of Contents</w:t>
      </w:r>
      <w:r>
        <w:rPr>
          <w:lang w:val="en-GB"/>
        </w:rPr>
        <w:t xml:space="preserve"> </w:t>
      </w:r>
    </w:p>
    <w:p w14:paraId="4FB548D6" w14:textId="77777777" w:rsidR="007E773A" w:rsidRDefault="007E773A" w:rsidP="007E773A">
      <w:pPr>
        <w:rPr>
          <w:lang w:val="en-GB"/>
        </w:rPr>
      </w:pPr>
    </w:p>
    <w:tbl>
      <w:tblPr>
        <w:tblW w:w="10093" w:type="dxa"/>
        <w:tblLook w:val="01E0" w:firstRow="1" w:lastRow="1" w:firstColumn="1" w:lastColumn="1" w:noHBand="0" w:noVBand="0"/>
      </w:tblPr>
      <w:tblGrid>
        <w:gridCol w:w="3015"/>
        <w:gridCol w:w="280"/>
        <w:gridCol w:w="3336"/>
        <w:gridCol w:w="280"/>
        <w:gridCol w:w="3182"/>
      </w:tblGrid>
      <w:tr w:rsidR="007E773A" w14:paraId="493008A9" w14:textId="77777777" w:rsidTr="00323B68">
        <w:trPr>
          <w:trHeight w:hRule="exact" w:val="340"/>
        </w:trPr>
        <w:tc>
          <w:tcPr>
            <w:tcW w:w="10093" w:type="dxa"/>
            <w:gridSpan w:val="5"/>
            <w:tcBorders>
              <w:bottom w:val="single" w:sz="36" w:space="0" w:color="BFBFBF"/>
            </w:tcBorders>
            <w:shd w:val="clear" w:color="auto" w:fill="auto"/>
          </w:tcPr>
          <w:p w14:paraId="78B815FA" w14:textId="77777777" w:rsidR="007E773A" w:rsidRDefault="00816397" w:rsidP="00720CC1">
            <w:pPr>
              <w:pStyle w:val="ColumnTitleTOC"/>
            </w:pPr>
            <w:r>
              <w:t>FULL PAPER</w:t>
            </w:r>
          </w:p>
        </w:tc>
      </w:tr>
      <w:tr w:rsidR="00E857A3" w14:paraId="5556ADBE" w14:textId="77777777" w:rsidTr="00323B68">
        <w:trPr>
          <w:trHeight w:val="340"/>
        </w:trPr>
        <w:tc>
          <w:tcPr>
            <w:tcW w:w="3118" w:type="dxa"/>
            <w:vMerge w:val="restart"/>
            <w:tcBorders>
              <w:top w:val="single" w:sz="36" w:space="0" w:color="BFBFBF"/>
            </w:tcBorders>
            <w:shd w:val="clear" w:color="auto" w:fill="auto"/>
          </w:tcPr>
          <w:p w14:paraId="52C92A83" w14:textId="4936C71F" w:rsidR="007E773A" w:rsidRDefault="00510779" w:rsidP="00E20489">
            <w:pPr>
              <w:pStyle w:val="TableOfContentText"/>
            </w:pPr>
            <w:r>
              <w:rPr>
                <w:b/>
              </w:rPr>
              <w:t>Insights Into</w:t>
            </w:r>
            <w:r w:rsidR="00260F62" w:rsidRPr="00260F62">
              <w:rPr>
                <w:b/>
              </w:rPr>
              <w:t xml:space="preserve"> </w:t>
            </w:r>
            <w:proofErr w:type="spellStart"/>
            <w:r w:rsidR="00260F62" w:rsidRPr="00260F62">
              <w:rPr>
                <w:b/>
              </w:rPr>
              <w:t>Itaconates</w:t>
            </w:r>
            <w:proofErr w:type="spellEnd"/>
            <w:r w:rsidR="00260F62">
              <w:t xml:space="preserve">. Undesirable regio-isomerisation of C=C in </w:t>
            </w:r>
            <w:proofErr w:type="spellStart"/>
            <w:r w:rsidR="00260F62">
              <w:t>itaconates</w:t>
            </w:r>
            <w:proofErr w:type="spellEnd"/>
            <w:r w:rsidR="00260F62">
              <w:t xml:space="preserve"> is found to be promoted by </w:t>
            </w:r>
            <w:proofErr w:type="spellStart"/>
            <w:r w:rsidR="00260F62">
              <w:t>alkylamines</w:t>
            </w:r>
            <w:proofErr w:type="spellEnd"/>
            <w:r w:rsidR="00260F62">
              <w:t xml:space="preserve"> during the intended </w:t>
            </w:r>
            <w:proofErr w:type="spellStart"/>
            <w:r w:rsidR="00260F62">
              <w:t>aza</w:t>
            </w:r>
            <w:proofErr w:type="spellEnd"/>
            <w:r w:rsidR="00260F62">
              <w:t xml:space="preserve">-Michael addition. </w:t>
            </w:r>
            <w:proofErr w:type="spellStart"/>
            <w:r w:rsidR="00260F62">
              <w:t>Quantitive</w:t>
            </w:r>
            <w:proofErr w:type="spellEnd"/>
            <w:r w:rsidR="00260F62">
              <w:t xml:space="preserve"> </w:t>
            </w:r>
            <w:r w:rsidR="003E06A6">
              <w:t>addition is possible but only with</w:t>
            </w:r>
            <w:r w:rsidR="00260F62">
              <w:t xml:space="preserve"> long </w:t>
            </w:r>
            <w:r w:rsidR="003E06A6">
              <w:t>reaction times</w:t>
            </w:r>
            <w:r w:rsidR="00260F62">
              <w:t xml:space="preserve">, allowing the </w:t>
            </w:r>
            <w:proofErr w:type="spellStart"/>
            <w:r w:rsidR="00260F62">
              <w:t>mesaconate</w:t>
            </w:r>
            <w:proofErr w:type="spellEnd"/>
            <w:r w:rsidR="00260F62">
              <w:t xml:space="preserve"> regio-isomer to revert back to </w:t>
            </w:r>
            <w:proofErr w:type="spellStart"/>
            <w:r w:rsidR="00260F62">
              <w:t>itaconate</w:t>
            </w:r>
            <w:proofErr w:type="spellEnd"/>
            <w:r w:rsidR="00260F62">
              <w:t xml:space="preserve">. </w:t>
            </w:r>
            <w:r w:rsidR="00E20489" w:rsidRPr="00F96419">
              <w:t xml:space="preserve">Regio-selectivity to the </w:t>
            </w:r>
            <w:proofErr w:type="spellStart"/>
            <w:r w:rsidR="00E20489" w:rsidRPr="00F96419">
              <w:t>itaconate</w:t>
            </w:r>
            <w:proofErr w:type="spellEnd"/>
            <w:r w:rsidR="00E20489" w:rsidRPr="00F96419">
              <w:t xml:space="preserve"> adduct over the </w:t>
            </w:r>
            <w:proofErr w:type="spellStart"/>
            <w:r w:rsidR="00E20489" w:rsidRPr="00F96419">
              <w:t>mesaconate</w:t>
            </w:r>
            <w:proofErr w:type="spellEnd"/>
            <w:r w:rsidR="00E20489" w:rsidRPr="00F96419">
              <w:t xml:space="preserve"> was also confirmed</w:t>
            </w:r>
            <w:r w:rsidR="00260F62" w:rsidRPr="00F96419">
              <w:t>.</w:t>
            </w:r>
            <w:r w:rsidR="003E06A6" w:rsidRPr="00F96419">
              <w:t xml:space="preserve"> The</w:t>
            </w:r>
            <w:r w:rsidR="003E06A6">
              <w:t xml:space="preserve"> study will assist future efforts to optimise post-polymerisation of bio-based unsaturated polyesters.</w:t>
            </w:r>
          </w:p>
        </w:tc>
        <w:tc>
          <w:tcPr>
            <w:tcW w:w="284" w:type="dxa"/>
            <w:tcBorders>
              <w:top w:val="single" w:sz="36" w:space="0" w:color="BFBFBF"/>
            </w:tcBorders>
            <w:shd w:val="clear" w:color="auto" w:fill="auto"/>
          </w:tcPr>
          <w:p w14:paraId="2294FE32" w14:textId="77777777" w:rsidR="007E773A" w:rsidRDefault="007E773A" w:rsidP="00720CC1">
            <w:pPr>
              <w:rPr>
                <w:lang w:val="en-GB"/>
              </w:rPr>
            </w:pPr>
          </w:p>
          <w:p w14:paraId="1CE5F65A" w14:textId="77777777" w:rsidR="00286D98" w:rsidRDefault="00286D98" w:rsidP="00720CC1">
            <w:pPr>
              <w:rPr>
                <w:lang w:val="en-GB"/>
              </w:rPr>
            </w:pPr>
          </w:p>
          <w:p w14:paraId="0A70CBBE" w14:textId="48E88FEB" w:rsidR="00286D98" w:rsidRDefault="00286D98" w:rsidP="00720CC1">
            <w:pPr>
              <w:rPr>
                <w:lang w:val="en-GB"/>
              </w:rPr>
            </w:pPr>
          </w:p>
        </w:tc>
        <w:tc>
          <w:tcPr>
            <w:tcW w:w="3118" w:type="dxa"/>
            <w:vMerge w:val="restart"/>
            <w:tcBorders>
              <w:top w:val="single" w:sz="36" w:space="0" w:color="BFBFBF"/>
            </w:tcBorders>
            <w:shd w:val="clear" w:color="auto" w:fill="auto"/>
          </w:tcPr>
          <w:p w14:paraId="2444FDEF" w14:textId="02ED6ACA" w:rsidR="007E773A" w:rsidRDefault="00E857A3" w:rsidP="00720CC1">
            <w:pPr>
              <w:rPr>
                <w:lang w:val="en-GB"/>
              </w:rPr>
            </w:pPr>
            <w:r>
              <w:rPr>
                <w:noProof/>
                <w:sz w:val="18"/>
                <w:lang w:val="en-GB" w:eastAsia="en-GB"/>
              </w:rPr>
              <w:drawing>
                <wp:anchor distT="0" distB="0" distL="114300" distR="114300" simplePos="0" relativeHeight="251685376" behindDoc="0" locked="0" layoutInCell="1" allowOverlap="1" wp14:anchorId="4FE9AF17" wp14:editId="37A65EB5">
                  <wp:simplePos x="0" y="0"/>
                  <wp:positionH relativeFrom="margin">
                    <wp:posOffset>38100</wp:posOffset>
                  </wp:positionH>
                  <wp:positionV relativeFrom="margin">
                    <wp:posOffset>152400</wp:posOffset>
                  </wp:positionV>
                  <wp:extent cx="1980000" cy="14112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s pic.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0000" cy="1411200"/>
                          </a:xfrm>
                          <a:prstGeom prst="rect">
                            <a:avLst/>
                          </a:prstGeom>
                        </pic:spPr>
                      </pic:pic>
                    </a:graphicData>
                  </a:graphic>
                </wp:anchor>
              </w:drawing>
            </w:r>
          </w:p>
        </w:tc>
        <w:tc>
          <w:tcPr>
            <w:tcW w:w="284" w:type="dxa"/>
            <w:tcBorders>
              <w:top w:val="single" w:sz="36" w:space="0" w:color="BFBFBF"/>
            </w:tcBorders>
            <w:shd w:val="clear" w:color="auto" w:fill="auto"/>
          </w:tcPr>
          <w:p w14:paraId="05CE7F5D" w14:textId="77777777" w:rsidR="007E773A" w:rsidRDefault="007E773A" w:rsidP="00720CC1">
            <w:pPr>
              <w:rPr>
                <w:lang w:val="en-GB"/>
              </w:rPr>
            </w:pPr>
          </w:p>
        </w:tc>
        <w:tc>
          <w:tcPr>
            <w:tcW w:w="3289" w:type="dxa"/>
            <w:vMerge w:val="restart"/>
            <w:tcBorders>
              <w:top w:val="single" w:sz="36" w:space="0" w:color="BFBFBF"/>
            </w:tcBorders>
            <w:shd w:val="clear" w:color="auto" w:fill="auto"/>
          </w:tcPr>
          <w:p w14:paraId="005B9A1A" w14:textId="77777777" w:rsidR="00E857A3" w:rsidRDefault="00E857A3" w:rsidP="00720CC1">
            <w:pPr>
              <w:pStyle w:val="PageNumbers"/>
              <w:rPr>
                <w:b w:val="0"/>
                <w:szCs w:val="20"/>
                <w:lang w:val="en-GB"/>
              </w:rPr>
            </w:pPr>
            <w:r>
              <w:rPr>
                <w:b w:val="0"/>
                <w:szCs w:val="20"/>
                <w:lang w:val="en-GB"/>
              </w:rPr>
              <w:t xml:space="preserve">T. J. Farmer,* D. J. </w:t>
            </w:r>
            <w:proofErr w:type="spellStart"/>
            <w:r>
              <w:rPr>
                <w:b w:val="0"/>
                <w:szCs w:val="20"/>
                <w:lang w:val="en-GB"/>
              </w:rPr>
              <w:t>Macquarrie</w:t>
            </w:r>
            <w:proofErr w:type="spellEnd"/>
            <w:r>
              <w:rPr>
                <w:b w:val="0"/>
                <w:szCs w:val="20"/>
                <w:lang w:val="en-GB"/>
              </w:rPr>
              <w:t xml:space="preserve">, J. W. </w:t>
            </w:r>
            <w:proofErr w:type="spellStart"/>
            <w:r>
              <w:rPr>
                <w:b w:val="0"/>
                <w:szCs w:val="20"/>
                <w:lang w:val="en-GB"/>
              </w:rPr>
              <w:t>Comerford</w:t>
            </w:r>
            <w:proofErr w:type="spellEnd"/>
            <w:r>
              <w:rPr>
                <w:b w:val="0"/>
                <w:szCs w:val="20"/>
                <w:lang w:val="en-GB"/>
              </w:rPr>
              <w:t xml:space="preserve">, A. </w:t>
            </w:r>
            <w:proofErr w:type="spellStart"/>
            <w:r>
              <w:rPr>
                <w:b w:val="0"/>
                <w:szCs w:val="20"/>
                <w:lang w:val="en-GB"/>
              </w:rPr>
              <w:t>Pellis</w:t>
            </w:r>
            <w:proofErr w:type="spellEnd"/>
            <w:r>
              <w:rPr>
                <w:b w:val="0"/>
                <w:szCs w:val="20"/>
                <w:lang w:val="en-GB"/>
              </w:rPr>
              <w:t xml:space="preserve"> and J. H. Clark</w:t>
            </w:r>
          </w:p>
          <w:p w14:paraId="2956E6FB" w14:textId="22285542" w:rsidR="007E773A" w:rsidRPr="004B0B74" w:rsidRDefault="007E773A" w:rsidP="00720CC1">
            <w:pPr>
              <w:pStyle w:val="PageNumbers"/>
              <w:rPr>
                <w:lang w:val="en-GB"/>
              </w:rPr>
            </w:pPr>
            <w:r w:rsidRPr="004B0B74">
              <w:rPr>
                <w:lang w:val="en-GB"/>
              </w:rPr>
              <w:t>Page No. – Page No.</w:t>
            </w:r>
          </w:p>
          <w:p w14:paraId="6092F0B7" w14:textId="77777777" w:rsidR="00E857A3" w:rsidRDefault="00E857A3" w:rsidP="00720CC1">
            <w:pPr>
              <w:framePr w:hSpace="141" w:wrap="around" w:vAnchor="page" w:hAnchor="margin" w:y="1504"/>
              <w:rPr>
                <w:rFonts w:ascii="Arial" w:hAnsi="Arial"/>
                <w:b/>
                <w:sz w:val="17"/>
                <w:szCs w:val="20"/>
                <w:lang w:val="en-GB"/>
              </w:rPr>
            </w:pPr>
          </w:p>
          <w:p w14:paraId="3160457E" w14:textId="516D1387" w:rsidR="007E773A" w:rsidRPr="00AE01EC" w:rsidRDefault="00E857A3" w:rsidP="00720CC1">
            <w:pPr>
              <w:framePr w:hSpace="141" w:wrap="around" w:vAnchor="page" w:hAnchor="margin" w:y="1504"/>
              <w:rPr>
                <w:lang w:val="en-GB"/>
              </w:rPr>
            </w:pPr>
            <w:r w:rsidRPr="00E857A3">
              <w:rPr>
                <w:rFonts w:ascii="Arial" w:hAnsi="Arial"/>
                <w:b/>
                <w:sz w:val="17"/>
                <w:szCs w:val="20"/>
                <w:lang w:val="en-GB"/>
              </w:rPr>
              <w:t xml:space="preserve">Insights into the Post-polymerisation Modification of Bio-based Unsaturated </w:t>
            </w:r>
            <w:proofErr w:type="spellStart"/>
            <w:r w:rsidRPr="00E857A3">
              <w:rPr>
                <w:rFonts w:ascii="Arial" w:hAnsi="Arial"/>
                <w:b/>
                <w:sz w:val="17"/>
                <w:szCs w:val="20"/>
                <w:lang w:val="en-GB"/>
              </w:rPr>
              <w:t>Itaconate</w:t>
            </w:r>
            <w:proofErr w:type="spellEnd"/>
            <w:r w:rsidRPr="00E857A3">
              <w:rPr>
                <w:rFonts w:ascii="Arial" w:hAnsi="Arial"/>
                <w:b/>
                <w:sz w:val="17"/>
                <w:szCs w:val="20"/>
                <w:lang w:val="en-GB"/>
              </w:rPr>
              <w:t xml:space="preserve"> and Fumarate Polyesters via Aza-Michael Addition: Understanding the Effects of C=C Isomerisation</w:t>
            </w:r>
          </w:p>
        </w:tc>
      </w:tr>
      <w:tr w:rsidR="00E857A3" w14:paraId="5F04BB25" w14:textId="77777777" w:rsidTr="00720CC1">
        <w:trPr>
          <w:trHeight w:hRule="exact" w:val="2796"/>
        </w:trPr>
        <w:tc>
          <w:tcPr>
            <w:tcW w:w="3118" w:type="dxa"/>
            <w:vMerge/>
            <w:shd w:val="clear" w:color="auto" w:fill="auto"/>
          </w:tcPr>
          <w:p w14:paraId="795429FC" w14:textId="77777777" w:rsidR="007E773A" w:rsidRDefault="007E773A" w:rsidP="00720CC1">
            <w:pPr>
              <w:rPr>
                <w:lang w:val="en-GB"/>
              </w:rPr>
            </w:pPr>
          </w:p>
        </w:tc>
        <w:tc>
          <w:tcPr>
            <w:tcW w:w="284" w:type="dxa"/>
            <w:shd w:val="clear" w:color="auto" w:fill="auto"/>
          </w:tcPr>
          <w:p w14:paraId="2CDBB231" w14:textId="77777777" w:rsidR="007E773A" w:rsidRDefault="007E773A" w:rsidP="00720CC1">
            <w:pPr>
              <w:rPr>
                <w:lang w:val="en-GB"/>
              </w:rPr>
            </w:pPr>
          </w:p>
        </w:tc>
        <w:tc>
          <w:tcPr>
            <w:tcW w:w="3118" w:type="dxa"/>
            <w:vMerge/>
            <w:shd w:val="clear" w:color="auto" w:fill="auto"/>
          </w:tcPr>
          <w:p w14:paraId="034FCF35" w14:textId="77777777" w:rsidR="007E773A" w:rsidRDefault="007E773A" w:rsidP="00720CC1">
            <w:pPr>
              <w:rPr>
                <w:lang w:val="en-GB"/>
              </w:rPr>
            </w:pPr>
          </w:p>
        </w:tc>
        <w:tc>
          <w:tcPr>
            <w:tcW w:w="284" w:type="dxa"/>
            <w:shd w:val="clear" w:color="auto" w:fill="auto"/>
          </w:tcPr>
          <w:p w14:paraId="27CCC9B8" w14:textId="77777777" w:rsidR="007E773A" w:rsidRDefault="007E773A" w:rsidP="00720CC1">
            <w:pPr>
              <w:rPr>
                <w:lang w:val="en-GB"/>
              </w:rPr>
            </w:pPr>
          </w:p>
        </w:tc>
        <w:tc>
          <w:tcPr>
            <w:tcW w:w="3289" w:type="dxa"/>
            <w:vMerge/>
            <w:shd w:val="clear" w:color="auto" w:fill="auto"/>
          </w:tcPr>
          <w:p w14:paraId="76636ACA" w14:textId="77777777" w:rsidR="007E773A" w:rsidRDefault="007E773A" w:rsidP="00720CC1">
            <w:pPr>
              <w:rPr>
                <w:lang w:val="en-GB"/>
              </w:rPr>
            </w:pPr>
          </w:p>
        </w:tc>
      </w:tr>
    </w:tbl>
    <w:p w14:paraId="538C6CB5" w14:textId="77777777" w:rsidR="007E773A" w:rsidRDefault="007E773A" w:rsidP="007E773A">
      <w:pPr>
        <w:rPr>
          <w:lang w:val="en-GB"/>
        </w:rPr>
      </w:pPr>
    </w:p>
    <w:p w14:paraId="4D3335AB" w14:textId="77777777" w:rsidR="007E773A" w:rsidRDefault="007E773A" w:rsidP="007E773A">
      <w:pPr>
        <w:rPr>
          <w:lang w:val="en-GB"/>
        </w:rPr>
      </w:pPr>
    </w:p>
    <w:p w14:paraId="129B7945" w14:textId="77777777" w:rsidR="007E773A" w:rsidRDefault="007E773A" w:rsidP="007E773A">
      <w:pPr>
        <w:rPr>
          <w:lang w:val="en-GB"/>
        </w:rPr>
      </w:pPr>
    </w:p>
    <w:p w14:paraId="7187FC05" w14:textId="72D0A775"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DFD59" w14:textId="77777777" w:rsidR="00E3273D" w:rsidRDefault="00E3273D">
      <w:r>
        <w:separator/>
      </w:r>
    </w:p>
  </w:endnote>
  <w:endnote w:type="continuationSeparator" w:id="0">
    <w:p w14:paraId="2FF82CD0" w14:textId="77777777" w:rsidR="00E3273D" w:rsidRDefault="00E3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2F8E" w14:textId="77777777" w:rsidR="00E3273D" w:rsidRDefault="00E32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A7821" w14:textId="77777777" w:rsidR="00E3273D" w:rsidRDefault="00E3273D" w:rsidP="0095126A">
    <w:pPr>
      <w:pStyle w:val="Footer"/>
      <w:pBdr>
        <w:top w:val="single" w:sz="18" w:space="1" w:color="C0C0C0"/>
      </w:pBdr>
    </w:pPr>
  </w:p>
  <w:p w14:paraId="590F676C" w14:textId="77777777" w:rsidR="00E3273D" w:rsidRDefault="00E3273D" w:rsidP="0095126A">
    <w:pPr>
      <w:pStyle w:val="Footer"/>
    </w:pPr>
  </w:p>
  <w:p w14:paraId="3EFF877B" w14:textId="77777777" w:rsidR="00E3273D" w:rsidRDefault="00E3273D" w:rsidP="0095126A">
    <w:pPr>
      <w:pStyle w:val="Footer"/>
    </w:pPr>
  </w:p>
  <w:p w14:paraId="6BFD4D14" w14:textId="77777777" w:rsidR="00E3273D" w:rsidRPr="00205632" w:rsidRDefault="00E3273D" w:rsidP="0095126A">
    <w:pPr>
      <w:pStyle w:val="Footer"/>
    </w:pPr>
  </w:p>
  <w:p w14:paraId="6F82D879" w14:textId="77777777" w:rsidR="00E3273D" w:rsidRPr="0095126A" w:rsidRDefault="00E3273D" w:rsidP="00951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9FFF" w14:textId="77777777" w:rsidR="00E3273D" w:rsidRDefault="00E32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EFE07" w14:textId="77777777" w:rsidR="00E3273D" w:rsidRDefault="00E3273D">
      <w:r>
        <w:separator/>
      </w:r>
    </w:p>
  </w:footnote>
  <w:footnote w:type="continuationSeparator" w:id="0">
    <w:p w14:paraId="11009D85" w14:textId="77777777" w:rsidR="00E3273D" w:rsidRDefault="00E32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06C72" w14:textId="29B27C37" w:rsidR="00E3273D" w:rsidRPr="00C8278A" w:rsidRDefault="00EF67B7"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739C6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E3273D" w:rsidRPr="00C00B45">
      <w:rPr>
        <w:rFonts w:ascii="Arial Narrow" w:hAnsi="Arial Narrow" w:cs="Arial"/>
        <w:b/>
        <w:bCs/>
        <w:noProof/>
        <w:color w:val="C0C0C0"/>
        <w:sz w:val="40"/>
        <w:szCs w:val="36"/>
        <w:lang w:val="en-GB" w:eastAsia="en-GB"/>
      </w:rPr>
      <w:drawing>
        <wp:inline distT="0" distB="0" distL="0" distR="0" wp14:anchorId="52E7BC86" wp14:editId="2F4CA068">
          <wp:extent cx="144018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419100"/>
                  </a:xfrm>
                  <a:prstGeom prst="rect">
                    <a:avLst/>
                  </a:prstGeom>
                  <a:noFill/>
                  <a:ln>
                    <a:noFill/>
                  </a:ln>
                </pic:spPr>
              </pic:pic>
            </a:graphicData>
          </a:graphic>
        </wp:inline>
      </w:drawing>
    </w:r>
    <w:r w:rsidR="00E3273D">
      <w:rPr>
        <w:rFonts w:ascii="Arial Narrow" w:hAnsi="Arial Narrow" w:cs="Arial"/>
        <w:b/>
        <w:bCs/>
        <w:color w:val="C0C0C0"/>
        <w:sz w:val="40"/>
        <w:szCs w:val="36"/>
      </w:rPr>
      <w:tab/>
    </w:r>
    <w:r w:rsidR="00E3273D">
      <w:rPr>
        <w:rFonts w:ascii="Arial Narrow" w:hAnsi="Arial Narrow" w:cs="Arial"/>
        <w:b/>
        <w:bCs/>
        <w:color w:val="C0C0C0"/>
        <w:sz w:val="40"/>
        <w:szCs w:val="36"/>
      </w:rPr>
      <w:tab/>
      <w:t xml:space="preserve">                            </w:t>
    </w:r>
    <w:r w:rsidR="00E3273D"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A043" w14:textId="56BFFE6F" w:rsidR="00E3273D" w:rsidRPr="00863DFC" w:rsidRDefault="00EF67B7" w:rsidP="00863DFC">
    <w:pPr>
      <w:pStyle w:val="Header"/>
      <w:pBdr>
        <w:bottom w:val="single" w:sz="18" w:space="1" w:color="C0C0C0"/>
      </w:pBdr>
    </w:pPr>
    <w:r>
      <w:rPr>
        <w:rFonts w:ascii="Arial Narrow" w:hAnsi="Arial Narrow" w:cs="Arial"/>
        <w:b/>
        <w:bCs/>
        <w:noProof/>
        <w:color w:val="C0C0C0"/>
        <w:sz w:val="32"/>
        <w:szCs w:val="36"/>
        <w:lang w:eastAsia="zh-CN"/>
      </w:rPr>
      <w:pict w14:anchorId="1F384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E3273D">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4CBC3FE2" wp14:editId="798AA3EF">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73D">
      <w:rPr>
        <w:rFonts w:ascii="Arial Narrow" w:hAnsi="Arial Narrow" w:cs="Arial"/>
        <w:b/>
        <w:bCs/>
        <w:color w:val="C0C0C0"/>
        <w:sz w:val="32"/>
        <w:szCs w:val="36"/>
      </w:rPr>
      <w:t>FULL PAPER</w:t>
    </w:r>
    <w:r w:rsidR="00E3273D" w:rsidRPr="00971FC5">
      <w:rPr>
        <w:rFonts w:ascii="Arial Narrow" w:hAnsi="Arial Narrow" w:cs="Arial"/>
        <w:sz w:val="32"/>
        <w:szCs w:val="36"/>
      </w:rPr>
      <w:tab/>
    </w:r>
    <w:r w:rsidR="00E3273D" w:rsidRPr="00971FC5">
      <w:rPr>
        <w:rFonts w:ascii="Arial Narrow" w:hAnsi="Arial Narrow" w:cs="Arial"/>
        <w:sz w:val="32"/>
        <w:szCs w:val="36"/>
      </w:rPr>
      <w:tab/>
    </w:r>
    <w:r w:rsidR="00E3273D">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F9BDA" w14:textId="77777777" w:rsidR="00E3273D" w:rsidRDefault="00EF67B7">
    <w:pPr>
      <w:pStyle w:val="Header"/>
    </w:pPr>
    <w:r>
      <w:rPr>
        <w:noProof/>
        <w:lang w:eastAsia="zh-CN"/>
      </w:rPr>
      <w:pict w14:anchorId="6CEB9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5.6pt" o:bullet="t">
        <v:imagedata r:id="rId1" o:title=""/>
      </v:shape>
    </w:pict>
  </w:numPicBullet>
  <w:abstractNum w:abstractNumId="0" w15:restartNumberingAfterBreak="0">
    <w:nsid w:val="00C96011"/>
    <w:multiLevelType w:val="hybridMultilevel"/>
    <w:tmpl w:val="37FE54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3C0FF6"/>
    <w:multiLevelType w:val="hybridMultilevel"/>
    <w:tmpl w:val="C9F0AC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A47351"/>
    <w:multiLevelType w:val="hybridMultilevel"/>
    <w:tmpl w:val="0B4E1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2F42C2"/>
    <w:multiLevelType w:val="hybridMultilevel"/>
    <w:tmpl w:val="BD54CA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525869"/>
    <w:multiLevelType w:val="hybridMultilevel"/>
    <w:tmpl w:val="5712A1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036F4E"/>
    <w:multiLevelType w:val="hybridMultilevel"/>
    <w:tmpl w:val="2EF6FA84"/>
    <w:lvl w:ilvl="0" w:tplc="034026A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8C7"/>
    <w:rsid w:val="0000214A"/>
    <w:rsid w:val="00002DBC"/>
    <w:rsid w:val="00003927"/>
    <w:rsid w:val="0000457A"/>
    <w:rsid w:val="00010410"/>
    <w:rsid w:val="00011D51"/>
    <w:rsid w:val="00013DD7"/>
    <w:rsid w:val="000208F6"/>
    <w:rsid w:val="00022DB4"/>
    <w:rsid w:val="00025ADA"/>
    <w:rsid w:val="00033C26"/>
    <w:rsid w:val="00033D1A"/>
    <w:rsid w:val="00033F43"/>
    <w:rsid w:val="00036490"/>
    <w:rsid w:val="0004091A"/>
    <w:rsid w:val="00042BF0"/>
    <w:rsid w:val="00045AB9"/>
    <w:rsid w:val="0005096E"/>
    <w:rsid w:val="0005140E"/>
    <w:rsid w:val="00055485"/>
    <w:rsid w:val="0006281D"/>
    <w:rsid w:val="00063E0F"/>
    <w:rsid w:val="00064775"/>
    <w:rsid w:val="0006489B"/>
    <w:rsid w:val="000650AB"/>
    <w:rsid w:val="0006694D"/>
    <w:rsid w:val="000669E3"/>
    <w:rsid w:val="00066B8E"/>
    <w:rsid w:val="00067DEF"/>
    <w:rsid w:val="00070B55"/>
    <w:rsid w:val="00070E0D"/>
    <w:rsid w:val="0007315F"/>
    <w:rsid w:val="00077560"/>
    <w:rsid w:val="000806F8"/>
    <w:rsid w:val="0008077D"/>
    <w:rsid w:val="0009136A"/>
    <w:rsid w:val="00091DA8"/>
    <w:rsid w:val="0009539C"/>
    <w:rsid w:val="00095C2F"/>
    <w:rsid w:val="00096EA1"/>
    <w:rsid w:val="000A0CD0"/>
    <w:rsid w:val="000A37F3"/>
    <w:rsid w:val="000A3E51"/>
    <w:rsid w:val="000A77DC"/>
    <w:rsid w:val="000B09B8"/>
    <w:rsid w:val="000B6DF3"/>
    <w:rsid w:val="000C1DBD"/>
    <w:rsid w:val="000C3C65"/>
    <w:rsid w:val="000C53F1"/>
    <w:rsid w:val="000D5B52"/>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23C7"/>
    <w:rsid w:val="001237B3"/>
    <w:rsid w:val="0012381E"/>
    <w:rsid w:val="001322FF"/>
    <w:rsid w:val="0013316F"/>
    <w:rsid w:val="001344F7"/>
    <w:rsid w:val="001348CD"/>
    <w:rsid w:val="0014043E"/>
    <w:rsid w:val="00141356"/>
    <w:rsid w:val="00143551"/>
    <w:rsid w:val="0014374D"/>
    <w:rsid w:val="00143B89"/>
    <w:rsid w:val="001475BF"/>
    <w:rsid w:val="001477FF"/>
    <w:rsid w:val="00152E6D"/>
    <w:rsid w:val="00155FB7"/>
    <w:rsid w:val="0015631F"/>
    <w:rsid w:val="00157C67"/>
    <w:rsid w:val="0016203E"/>
    <w:rsid w:val="00162F6B"/>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54CA"/>
    <w:rsid w:val="001D79FD"/>
    <w:rsid w:val="001D7ECC"/>
    <w:rsid w:val="001E164A"/>
    <w:rsid w:val="001E2F1C"/>
    <w:rsid w:val="001F16EF"/>
    <w:rsid w:val="001F1A2D"/>
    <w:rsid w:val="001F252B"/>
    <w:rsid w:val="001F3ACC"/>
    <w:rsid w:val="001F4235"/>
    <w:rsid w:val="001F45C3"/>
    <w:rsid w:val="001F4EE4"/>
    <w:rsid w:val="0020306E"/>
    <w:rsid w:val="002124FA"/>
    <w:rsid w:val="00212FD6"/>
    <w:rsid w:val="00213D0E"/>
    <w:rsid w:val="002221BA"/>
    <w:rsid w:val="00222D97"/>
    <w:rsid w:val="0022537E"/>
    <w:rsid w:val="0022582C"/>
    <w:rsid w:val="00232C14"/>
    <w:rsid w:val="002362C7"/>
    <w:rsid w:val="00241D85"/>
    <w:rsid w:val="00242E54"/>
    <w:rsid w:val="002433F0"/>
    <w:rsid w:val="00243927"/>
    <w:rsid w:val="00260EDA"/>
    <w:rsid w:val="00260F62"/>
    <w:rsid w:val="00261387"/>
    <w:rsid w:val="00261882"/>
    <w:rsid w:val="00265DCA"/>
    <w:rsid w:val="00267F8A"/>
    <w:rsid w:val="002702BC"/>
    <w:rsid w:val="0027068B"/>
    <w:rsid w:val="00286D98"/>
    <w:rsid w:val="00287256"/>
    <w:rsid w:val="00287B32"/>
    <w:rsid w:val="00291C93"/>
    <w:rsid w:val="002A36FA"/>
    <w:rsid w:val="002A561E"/>
    <w:rsid w:val="002A69D1"/>
    <w:rsid w:val="002B16E2"/>
    <w:rsid w:val="002B22BA"/>
    <w:rsid w:val="002B25E2"/>
    <w:rsid w:val="002B453B"/>
    <w:rsid w:val="002B56C9"/>
    <w:rsid w:val="002B7CA9"/>
    <w:rsid w:val="002C36E0"/>
    <w:rsid w:val="002C5713"/>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11A"/>
    <w:rsid w:val="003657B6"/>
    <w:rsid w:val="00365814"/>
    <w:rsid w:val="00366676"/>
    <w:rsid w:val="003674A7"/>
    <w:rsid w:val="00374284"/>
    <w:rsid w:val="00375415"/>
    <w:rsid w:val="00376792"/>
    <w:rsid w:val="00376F37"/>
    <w:rsid w:val="0038506F"/>
    <w:rsid w:val="00390DD7"/>
    <w:rsid w:val="00392567"/>
    <w:rsid w:val="00396BE2"/>
    <w:rsid w:val="003A6168"/>
    <w:rsid w:val="003B04BA"/>
    <w:rsid w:val="003B0FC4"/>
    <w:rsid w:val="003B6C60"/>
    <w:rsid w:val="003B70C8"/>
    <w:rsid w:val="003C134A"/>
    <w:rsid w:val="003C1519"/>
    <w:rsid w:val="003C1CCA"/>
    <w:rsid w:val="003C2972"/>
    <w:rsid w:val="003C2C9C"/>
    <w:rsid w:val="003C6E1A"/>
    <w:rsid w:val="003D0F51"/>
    <w:rsid w:val="003D1C1A"/>
    <w:rsid w:val="003D3F9A"/>
    <w:rsid w:val="003E06A6"/>
    <w:rsid w:val="003E54CD"/>
    <w:rsid w:val="003E7319"/>
    <w:rsid w:val="003E7984"/>
    <w:rsid w:val="003E7E84"/>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46F8D"/>
    <w:rsid w:val="00451830"/>
    <w:rsid w:val="00454A2D"/>
    <w:rsid w:val="004556E1"/>
    <w:rsid w:val="004609E1"/>
    <w:rsid w:val="00460C28"/>
    <w:rsid w:val="00461BD2"/>
    <w:rsid w:val="00462A09"/>
    <w:rsid w:val="004644E1"/>
    <w:rsid w:val="0046574E"/>
    <w:rsid w:val="004657E8"/>
    <w:rsid w:val="00467D7A"/>
    <w:rsid w:val="00467D84"/>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32"/>
    <w:rsid w:val="004C5F41"/>
    <w:rsid w:val="004C6D04"/>
    <w:rsid w:val="004D090A"/>
    <w:rsid w:val="004D31C6"/>
    <w:rsid w:val="004D4293"/>
    <w:rsid w:val="004D5369"/>
    <w:rsid w:val="004D5ABB"/>
    <w:rsid w:val="004D6DB8"/>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3C01"/>
    <w:rsid w:val="0050689B"/>
    <w:rsid w:val="005068AA"/>
    <w:rsid w:val="00506EDB"/>
    <w:rsid w:val="00510779"/>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75627"/>
    <w:rsid w:val="005801F0"/>
    <w:rsid w:val="005826CC"/>
    <w:rsid w:val="005839B9"/>
    <w:rsid w:val="00586DF8"/>
    <w:rsid w:val="00591262"/>
    <w:rsid w:val="00591AB8"/>
    <w:rsid w:val="00597954"/>
    <w:rsid w:val="005A4733"/>
    <w:rsid w:val="005B10C2"/>
    <w:rsid w:val="005B15A7"/>
    <w:rsid w:val="005B3509"/>
    <w:rsid w:val="005B430B"/>
    <w:rsid w:val="005B43B7"/>
    <w:rsid w:val="005B5D4F"/>
    <w:rsid w:val="005B6716"/>
    <w:rsid w:val="005B6C80"/>
    <w:rsid w:val="005B71FC"/>
    <w:rsid w:val="005C08BF"/>
    <w:rsid w:val="005C4C9A"/>
    <w:rsid w:val="005C4CEE"/>
    <w:rsid w:val="005C4F38"/>
    <w:rsid w:val="005C5196"/>
    <w:rsid w:val="005C5432"/>
    <w:rsid w:val="005D1EBB"/>
    <w:rsid w:val="005D43FD"/>
    <w:rsid w:val="005D65E6"/>
    <w:rsid w:val="005E2989"/>
    <w:rsid w:val="005F19CB"/>
    <w:rsid w:val="005F5348"/>
    <w:rsid w:val="005F74E7"/>
    <w:rsid w:val="0060041E"/>
    <w:rsid w:val="006011C8"/>
    <w:rsid w:val="006024FD"/>
    <w:rsid w:val="0060310C"/>
    <w:rsid w:val="00605FAC"/>
    <w:rsid w:val="006105A4"/>
    <w:rsid w:val="006134A3"/>
    <w:rsid w:val="006150DB"/>
    <w:rsid w:val="00615776"/>
    <w:rsid w:val="006200AB"/>
    <w:rsid w:val="00620450"/>
    <w:rsid w:val="00620753"/>
    <w:rsid w:val="00620911"/>
    <w:rsid w:val="00620C61"/>
    <w:rsid w:val="00627F57"/>
    <w:rsid w:val="00636481"/>
    <w:rsid w:val="006375B5"/>
    <w:rsid w:val="00644209"/>
    <w:rsid w:val="00646F91"/>
    <w:rsid w:val="00647525"/>
    <w:rsid w:val="006479FE"/>
    <w:rsid w:val="00654E17"/>
    <w:rsid w:val="00656634"/>
    <w:rsid w:val="0066216C"/>
    <w:rsid w:val="00662C1B"/>
    <w:rsid w:val="00665E34"/>
    <w:rsid w:val="006675EA"/>
    <w:rsid w:val="00671E1E"/>
    <w:rsid w:val="006722A0"/>
    <w:rsid w:val="006724B9"/>
    <w:rsid w:val="00672587"/>
    <w:rsid w:val="0067512C"/>
    <w:rsid w:val="00677AB5"/>
    <w:rsid w:val="00677D6F"/>
    <w:rsid w:val="006812E2"/>
    <w:rsid w:val="00681A96"/>
    <w:rsid w:val="006846C4"/>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309"/>
    <w:rsid w:val="006B6806"/>
    <w:rsid w:val="006B72C2"/>
    <w:rsid w:val="006B7C3F"/>
    <w:rsid w:val="006C1123"/>
    <w:rsid w:val="006C2868"/>
    <w:rsid w:val="006C2DBE"/>
    <w:rsid w:val="006C5C46"/>
    <w:rsid w:val="006C5F03"/>
    <w:rsid w:val="006C643D"/>
    <w:rsid w:val="006C6BFE"/>
    <w:rsid w:val="006C6D39"/>
    <w:rsid w:val="006C77DC"/>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13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190"/>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2"/>
    <w:rsid w:val="00826879"/>
    <w:rsid w:val="008272FD"/>
    <w:rsid w:val="00827A4E"/>
    <w:rsid w:val="00832891"/>
    <w:rsid w:val="008339A8"/>
    <w:rsid w:val="00836959"/>
    <w:rsid w:val="008421CA"/>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1905"/>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D5699"/>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17A1F"/>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4EFA"/>
    <w:rsid w:val="00985D3C"/>
    <w:rsid w:val="0098683C"/>
    <w:rsid w:val="0098753E"/>
    <w:rsid w:val="009923A9"/>
    <w:rsid w:val="00996071"/>
    <w:rsid w:val="009964CD"/>
    <w:rsid w:val="00996E07"/>
    <w:rsid w:val="00997637"/>
    <w:rsid w:val="009A27D2"/>
    <w:rsid w:val="009A53C8"/>
    <w:rsid w:val="009A6414"/>
    <w:rsid w:val="009B3D65"/>
    <w:rsid w:val="009B426B"/>
    <w:rsid w:val="009B5513"/>
    <w:rsid w:val="009B626F"/>
    <w:rsid w:val="009B7251"/>
    <w:rsid w:val="009C0ABF"/>
    <w:rsid w:val="009C43E7"/>
    <w:rsid w:val="009D14CA"/>
    <w:rsid w:val="009D5757"/>
    <w:rsid w:val="009D7DB0"/>
    <w:rsid w:val="009E19C6"/>
    <w:rsid w:val="009E1D78"/>
    <w:rsid w:val="009E20AB"/>
    <w:rsid w:val="009E295D"/>
    <w:rsid w:val="009E3220"/>
    <w:rsid w:val="009E5B17"/>
    <w:rsid w:val="009E78B5"/>
    <w:rsid w:val="009E7925"/>
    <w:rsid w:val="009E798E"/>
    <w:rsid w:val="009E7F63"/>
    <w:rsid w:val="009F1127"/>
    <w:rsid w:val="009F4D3D"/>
    <w:rsid w:val="009F6FBF"/>
    <w:rsid w:val="009F70DC"/>
    <w:rsid w:val="00A001C3"/>
    <w:rsid w:val="00A0204A"/>
    <w:rsid w:val="00A02C15"/>
    <w:rsid w:val="00A0349A"/>
    <w:rsid w:val="00A04427"/>
    <w:rsid w:val="00A04B91"/>
    <w:rsid w:val="00A04D83"/>
    <w:rsid w:val="00A054B0"/>
    <w:rsid w:val="00A069E1"/>
    <w:rsid w:val="00A1019C"/>
    <w:rsid w:val="00A11648"/>
    <w:rsid w:val="00A1351B"/>
    <w:rsid w:val="00A144D7"/>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152"/>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A1BF0"/>
    <w:rsid w:val="00AA4441"/>
    <w:rsid w:val="00AA5045"/>
    <w:rsid w:val="00AA73FE"/>
    <w:rsid w:val="00AA7D8F"/>
    <w:rsid w:val="00AB14AF"/>
    <w:rsid w:val="00AC1427"/>
    <w:rsid w:val="00AC390C"/>
    <w:rsid w:val="00AC51F3"/>
    <w:rsid w:val="00AC532F"/>
    <w:rsid w:val="00AC56CE"/>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0E20"/>
    <w:rsid w:val="00B11686"/>
    <w:rsid w:val="00B12C6B"/>
    <w:rsid w:val="00B13276"/>
    <w:rsid w:val="00B139D9"/>
    <w:rsid w:val="00B14EAD"/>
    <w:rsid w:val="00B22DD8"/>
    <w:rsid w:val="00B266B2"/>
    <w:rsid w:val="00B26826"/>
    <w:rsid w:val="00B3192C"/>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69C7"/>
    <w:rsid w:val="00BC78A2"/>
    <w:rsid w:val="00BD142D"/>
    <w:rsid w:val="00BD505D"/>
    <w:rsid w:val="00BD61A7"/>
    <w:rsid w:val="00BE09CA"/>
    <w:rsid w:val="00BE114C"/>
    <w:rsid w:val="00BE352D"/>
    <w:rsid w:val="00BE7761"/>
    <w:rsid w:val="00BF03A9"/>
    <w:rsid w:val="00BF0F57"/>
    <w:rsid w:val="00BF14BC"/>
    <w:rsid w:val="00C0070A"/>
    <w:rsid w:val="00C00948"/>
    <w:rsid w:val="00C00B45"/>
    <w:rsid w:val="00C02AB8"/>
    <w:rsid w:val="00C047F9"/>
    <w:rsid w:val="00C06CDB"/>
    <w:rsid w:val="00C06D0F"/>
    <w:rsid w:val="00C070FB"/>
    <w:rsid w:val="00C13799"/>
    <w:rsid w:val="00C2460C"/>
    <w:rsid w:val="00C2552A"/>
    <w:rsid w:val="00C308BE"/>
    <w:rsid w:val="00C31F5F"/>
    <w:rsid w:val="00C32053"/>
    <w:rsid w:val="00C40FD8"/>
    <w:rsid w:val="00C41730"/>
    <w:rsid w:val="00C41733"/>
    <w:rsid w:val="00C43D44"/>
    <w:rsid w:val="00C452C4"/>
    <w:rsid w:val="00C462C4"/>
    <w:rsid w:val="00C55A65"/>
    <w:rsid w:val="00C60C71"/>
    <w:rsid w:val="00C632B3"/>
    <w:rsid w:val="00C63B7C"/>
    <w:rsid w:val="00C70D48"/>
    <w:rsid w:val="00C71038"/>
    <w:rsid w:val="00C77158"/>
    <w:rsid w:val="00C77DFE"/>
    <w:rsid w:val="00C80D4B"/>
    <w:rsid w:val="00C8278A"/>
    <w:rsid w:val="00C8558C"/>
    <w:rsid w:val="00C85ABE"/>
    <w:rsid w:val="00C9071F"/>
    <w:rsid w:val="00C90A57"/>
    <w:rsid w:val="00C91F07"/>
    <w:rsid w:val="00C92120"/>
    <w:rsid w:val="00C942FC"/>
    <w:rsid w:val="00C966DA"/>
    <w:rsid w:val="00C976B2"/>
    <w:rsid w:val="00CA1213"/>
    <w:rsid w:val="00CA16E3"/>
    <w:rsid w:val="00CA2E29"/>
    <w:rsid w:val="00CA3607"/>
    <w:rsid w:val="00CA72F1"/>
    <w:rsid w:val="00CB2DCB"/>
    <w:rsid w:val="00CB4591"/>
    <w:rsid w:val="00CB69C7"/>
    <w:rsid w:val="00CB6F85"/>
    <w:rsid w:val="00CC0473"/>
    <w:rsid w:val="00CC1E8D"/>
    <w:rsid w:val="00CC3970"/>
    <w:rsid w:val="00CC3ED1"/>
    <w:rsid w:val="00CC4988"/>
    <w:rsid w:val="00CD66D5"/>
    <w:rsid w:val="00CE0A40"/>
    <w:rsid w:val="00CE1852"/>
    <w:rsid w:val="00CE2946"/>
    <w:rsid w:val="00CE4329"/>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814"/>
    <w:rsid w:val="00D74C34"/>
    <w:rsid w:val="00D7679A"/>
    <w:rsid w:val="00D76A3B"/>
    <w:rsid w:val="00D80821"/>
    <w:rsid w:val="00D83505"/>
    <w:rsid w:val="00D83F0F"/>
    <w:rsid w:val="00D872B1"/>
    <w:rsid w:val="00D91D07"/>
    <w:rsid w:val="00DA32C0"/>
    <w:rsid w:val="00DC1CC0"/>
    <w:rsid w:val="00DC273F"/>
    <w:rsid w:val="00DC38B8"/>
    <w:rsid w:val="00DC4475"/>
    <w:rsid w:val="00DC58C0"/>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16674"/>
    <w:rsid w:val="00E20489"/>
    <w:rsid w:val="00E21911"/>
    <w:rsid w:val="00E2417A"/>
    <w:rsid w:val="00E25B4B"/>
    <w:rsid w:val="00E26437"/>
    <w:rsid w:val="00E30E17"/>
    <w:rsid w:val="00E3273D"/>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B0B"/>
    <w:rsid w:val="00E74EFA"/>
    <w:rsid w:val="00E76CD4"/>
    <w:rsid w:val="00E84F46"/>
    <w:rsid w:val="00E857A3"/>
    <w:rsid w:val="00E86CF4"/>
    <w:rsid w:val="00E90586"/>
    <w:rsid w:val="00E9183E"/>
    <w:rsid w:val="00E91C1D"/>
    <w:rsid w:val="00E920BC"/>
    <w:rsid w:val="00E936B6"/>
    <w:rsid w:val="00E94476"/>
    <w:rsid w:val="00E948E4"/>
    <w:rsid w:val="00E960BA"/>
    <w:rsid w:val="00E96C90"/>
    <w:rsid w:val="00E9768D"/>
    <w:rsid w:val="00EA067A"/>
    <w:rsid w:val="00EA1A26"/>
    <w:rsid w:val="00EA2859"/>
    <w:rsid w:val="00EA2F92"/>
    <w:rsid w:val="00EA5A23"/>
    <w:rsid w:val="00EA7141"/>
    <w:rsid w:val="00EB27E9"/>
    <w:rsid w:val="00EB5774"/>
    <w:rsid w:val="00EB6169"/>
    <w:rsid w:val="00EB64CF"/>
    <w:rsid w:val="00EB74A3"/>
    <w:rsid w:val="00EB7AE9"/>
    <w:rsid w:val="00EC1F3E"/>
    <w:rsid w:val="00EC65CA"/>
    <w:rsid w:val="00ED2C01"/>
    <w:rsid w:val="00ED63C6"/>
    <w:rsid w:val="00ED7B9C"/>
    <w:rsid w:val="00EE3131"/>
    <w:rsid w:val="00EE6D9A"/>
    <w:rsid w:val="00EE7426"/>
    <w:rsid w:val="00EF0027"/>
    <w:rsid w:val="00EF0F49"/>
    <w:rsid w:val="00EF26EB"/>
    <w:rsid w:val="00EF291C"/>
    <w:rsid w:val="00EF584E"/>
    <w:rsid w:val="00EF65B7"/>
    <w:rsid w:val="00EF67B7"/>
    <w:rsid w:val="00F007F5"/>
    <w:rsid w:val="00F01D4C"/>
    <w:rsid w:val="00F02583"/>
    <w:rsid w:val="00F04365"/>
    <w:rsid w:val="00F04C12"/>
    <w:rsid w:val="00F052B6"/>
    <w:rsid w:val="00F115D4"/>
    <w:rsid w:val="00F14219"/>
    <w:rsid w:val="00F14A3D"/>
    <w:rsid w:val="00F1565A"/>
    <w:rsid w:val="00F156C3"/>
    <w:rsid w:val="00F25E14"/>
    <w:rsid w:val="00F271F7"/>
    <w:rsid w:val="00F35089"/>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6D4A"/>
    <w:rsid w:val="00F80B2F"/>
    <w:rsid w:val="00F81D1A"/>
    <w:rsid w:val="00F84389"/>
    <w:rsid w:val="00F851EC"/>
    <w:rsid w:val="00F854CA"/>
    <w:rsid w:val="00F855A7"/>
    <w:rsid w:val="00F86B1F"/>
    <w:rsid w:val="00F87AF0"/>
    <w:rsid w:val="00F90AC3"/>
    <w:rsid w:val="00F94259"/>
    <w:rsid w:val="00F96419"/>
    <w:rsid w:val="00F96F1F"/>
    <w:rsid w:val="00FA0025"/>
    <w:rsid w:val="00FA0E7F"/>
    <w:rsid w:val="00FA24B0"/>
    <w:rsid w:val="00FA38C7"/>
    <w:rsid w:val="00FA4314"/>
    <w:rsid w:val="00FA45BB"/>
    <w:rsid w:val="00FA5099"/>
    <w:rsid w:val="00FA72FD"/>
    <w:rsid w:val="00FB04B7"/>
    <w:rsid w:val="00FB4551"/>
    <w:rsid w:val="00FB698B"/>
    <w:rsid w:val="00FC2F44"/>
    <w:rsid w:val="00FC62BC"/>
    <w:rsid w:val="00FC63D2"/>
    <w:rsid w:val="00FD1481"/>
    <w:rsid w:val="00FD30D6"/>
    <w:rsid w:val="00FD6378"/>
    <w:rsid w:val="00FE2612"/>
    <w:rsid w:val="00FE2DE8"/>
    <w:rsid w:val="00FE7E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76078C0A"/>
  <w15:chartTrackingRefBased/>
  <w15:docId w15:val="{C21DEA4C-9C61-40DE-BB28-701E2745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paragraph" w:styleId="Heading1">
    <w:name w:val="heading 1"/>
    <w:basedOn w:val="Normal"/>
    <w:next w:val="Normal"/>
    <w:link w:val="Heading1Char"/>
    <w:uiPriority w:val="9"/>
    <w:qFormat/>
    <w:rsid w:val="00662C1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styleId="CommentText">
    <w:name w:val="annotation text"/>
    <w:basedOn w:val="Normal"/>
    <w:link w:val="CommentTextChar"/>
    <w:uiPriority w:val="99"/>
    <w:unhideWhenUsed/>
    <w:rsid w:val="00CB69C7"/>
    <w:rPr>
      <w:sz w:val="20"/>
      <w:szCs w:val="20"/>
    </w:rPr>
  </w:style>
  <w:style w:type="character" w:customStyle="1" w:styleId="CommentTextChar">
    <w:name w:val="Comment Text Char"/>
    <w:basedOn w:val="DefaultParagraphFont"/>
    <w:link w:val="CommentText"/>
    <w:uiPriority w:val="99"/>
    <w:rsid w:val="00CB69C7"/>
    <w:rPr>
      <w:lang w:val="de-DE" w:eastAsia="ja-JP"/>
    </w:rPr>
  </w:style>
  <w:style w:type="character" w:styleId="CommentReference">
    <w:name w:val="annotation reference"/>
    <w:uiPriority w:val="99"/>
    <w:semiHidden/>
    <w:unhideWhenUsed/>
    <w:rsid w:val="00CB69C7"/>
    <w:rPr>
      <w:sz w:val="16"/>
      <w:szCs w:val="16"/>
    </w:rPr>
  </w:style>
  <w:style w:type="paragraph" w:customStyle="1" w:styleId="Newparagraph">
    <w:name w:val="New paragraph"/>
    <w:basedOn w:val="Normal"/>
    <w:qFormat/>
    <w:rsid w:val="005A4733"/>
    <w:pPr>
      <w:spacing w:line="480" w:lineRule="auto"/>
      <w:ind w:firstLine="720"/>
    </w:pPr>
    <w:rPr>
      <w:rFonts w:eastAsia="Times New Roman"/>
      <w:lang w:val="en-GB" w:eastAsia="en-GB"/>
    </w:rPr>
  </w:style>
  <w:style w:type="paragraph" w:customStyle="1" w:styleId="Notesoncontributors">
    <w:name w:val="Notes on contributors"/>
    <w:basedOn w:val="Normal"/>
    <w:qFormat/>
    <w:rsid w:val="005C4C9A"/>
    <w:pPr>
      <w:spacing w:before="240" w:line="360" w:lineRule="auto"/>
    </w:pPr>
    <w:rPr>
      <w:rFonts w:eastAsia="Times New Roman"/>
      <w:sz w:val="22"/>
      <w:lang w:val="en-GB" w:eastAsia="en-GB"/>
    </w:rPr>
  </w:style>
  <w:style w:type="character" w:styleId="Hyperlink">
    <w:name w:val="Hyperlink"/>
    <w:basedOn w:val="DefaultParagraphFont"/>
    <w:uiPriority w:val="99"/>
    <w:unhideWhenUsed/>
    <w:rsid w:val="000A0CD0"/>
    <w:rPr>
      <w:color w:val="0563C1" w:themeColor="hyperlink"/>
      <w:u w:val="single"/>
    </w:rPr>
  </w:style>
  <w:style w:type="character" w:customStyle="1" w:styleId="Heading1Char">
    <w:name w:val="Heading 1 Char"/>
    <w:basedOn w:val="DefaultParagraphFont"/>
    <w:link w:val="Heading1"/>
    <w:uiPriority w:val="9"/>
    <w:rsid w:val="00662C1B"/>
    <w:rPr>
      <w:rFonts w:asciiTheme="majorHAnsi" w:eastAsiaTheme="majorEastAsia" w:hAnsiTheme="majorHAnsi" w:cstheme="majorBidi"/>
      <w:color w:val="2E74B5" w:themeColor="accent1" w:themeShade="BF"/>
      <w:sz w:val="32"/>
      <w:szCs w:val="32"/>
      <w:lang w:val="de-DE" w:eastAsia="ja-JP"/>
    </w:rPr>
  </w:style>
  <w:style w:type="paragraph" w:styleId="CommentSubject">
    <w:name w:val="annotation subject"/>
    <w:basedOn w:val="CommentText"/>
    <w:next w:val="CommentText"/>
    <w:link w:val="CommentSubjectChar"/>
    <w:uiPriority w:val="99"/>
    <w:semiHidden/>
    <w:unhideWhenUsed/>
    <w:rsid w:val="00091DA8"/>
    <w:rPr>
      <w:b/>
      <w:bCs/>
    </w:rPr>
  </w:style>
  <w:style w:type="character" w:customStyle="1" w:styleId="CommentSubjectChar">
    <w:name w:val="Comment Subject Char"/>
    <w:basedOn w:val="CommentTextChar"/>
    <w:link w:val="CommentSubject"/>
    <w:uiPriority w:val="99"/>
    <w:semiHidden/>
    <w:rsid w:val="00091DA8"/>
    <w:rPr>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527475">
      <w:bodyDiv w:val="1"/>
      <w:marLeft w:val="0"/>
      <w:marRight w:val="0"/>
      <w:marTop w:val="0"/>
      <w:marBottom w:val="0"/>
      <w:divBdr>
        <w:top w:val="none" w:sz="0" w:space="0" w:color="auto"/>
        <w:left w:val="none" w:sz="0" w:space="0" w:color="auto"/>
        <w:bottom w:val="none" w:sz="0" w:space="0" w:color="auto"/>
        <w:right w:val="none" w:sz="0" w:space="0" w:color="auto"/>
      </w:divBdr>
      <w:divsChild>
        <w:div w:id="916717918">
          <w:marLeft w:val="0"/>
          <w:marRight w:val="0"/>
          <w:marTop w:val="0"/>
          <w:marBottom w:val="0"/>
          <w:divBdr>
            <w:top w:val="none" w:sz="0" w:space="0" w:color="auto"/>
            <w:left w:val="none" w:sz="0" w:space="0" w:color="auto"/>
            <w:bottom w:val="none" w:sz="0" w:space="0" w:color="auto"/>
            <w:right w:val="none" w:sz="0" w:space="0" w:color="auto"/>
          </w:divBdr>
        </w:div>
        <w:div w:id="2085060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homas.farmer@york.ac.uk" TargetMode="Externa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3.emf"/><Relationship Id="rId39" Type="http://schemas.openxmlformats.org/officeDocument/2006/relationships/image" Target="media/image21.tif"/><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6.bin"/><Relationship Id="rId7" Type="http://schemas.openxmlformats.org/officeDocument/2006/relationships/hyperlink" Target="mailto:thomas.farmer@york.ac.uk" TargetMode="Externa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oleObject" Target="embeddings/oleObject5.bin"/><Relationship Id="rId37" Type="http://schemas.openxmlformats.org/officeDocument/2006/relationships/image" Target="media/image20.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19.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1072</TotalTime>
  <Pages>10</Pages>
  <Words>6785</Words>
  <Characters>35897</Characters>
  <Application>Microsoft Office Word</Application>
  <DocSecurity>0</DocSecurity>
  <Lines>299</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Thomas Farmer</dc:creator>
  <cp:keywords/>
  <cp:lastModifiedBy>Thomas Farmer</cp:lastModifiedBy>
  <cp:revision>66</cp:revision>
  <cp:lastPrinted>2018-04-20T11:49:00Z</cp:lastPrinted>
  <dcterms:created xsi:type="dcterms:W3CDTF">2018-04-19T09:01:00Z</dcterms:created>
  <dcterms:modified xsi:type="dcterms:W3CDTF">2018-05-29T11:49:00Z</dcterms:modified>
</cp:coreProperties>
</file>