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44E2" w14:textId="6399128E" w:rsidR="00B116B8" w:rsidRPr="00EC5244" w:rsidRDefault="00EE6A58" w:rsidP="00B116B8">
      <w:pPr>
        <w:pStyle w:val="BATitle"/>
        <w:jc w:val="left"/>
        <w:rPr>
          <w:sz w:val="40"/>
          <w:szCs w:val="40"/>
          <w:lang w:val="en-CA" w:eastAsia="ja-JP"/>
        </w:rPr>
      </w:pPr>
      <w:r w:rsidRPr="00EC5244">
        <w:rPr>
          <w:sz w:val="40"/>
          <w:szCs w:val="40"/>
          <w:lang w:val="en-CA"/>
        </w:rPr>
        <w:t>Unifying h</w:t>
      </w:r>
      <w:r w:rsidR="001C44D4" w:rsidRPr="00EC5244">
        <w:rPr>
          <w:sz w:val="40"/>
          <w:szCs w:val="40"/>
          <w:lang w:val="en-CA"/>
        </w:rPr>
        <w:t>ydrotropy</w:t>
      </w:r>
      <w:r w:rsidR="0097233D" w:rsidRPr="00EC5244">
        <w:rPr>
          <w:sz w:val="40"/>
          <w:szCs w:val="40"/>
          <w:lang w:val="en-CA"/>
        </w:rPr>
        <w:t xml:space="preserve"> under</w:t>
      </w:r>
      <w:r w:rsidR="008A3FA6" w:rsidRPr="00EC5244">
        <w:rPr>
          <w:sz w:val="40"/>
          <w:szCs w:val="40"/>
          <w:lang w:val="en-CA"/>
        </w:rPr>
        <w:t xml:space="preserve"> </w:t>
      </w:r>
      <w:r w:rsidR="00037B47" w:rsidRPr="00EC5244">
        <w:rPr>
          <w:sz w:val="40"/>
          <w:szCs w:val="40"/>
          <w:lang w:val="en-CA"/>
        </w:rPr>
        <w:t>Gibbs</w:t>
      </w:r>
      <w:r w:rsidR="001C44D4" w:rsidRPr="00EC5244">
        <w:rPr>
          <w:sz w:val="40"/>
          <w:szCs w:val="40"/>
          <w:lang w:val="en-CA"/>
        </w:rPr>
        <w:t xml:space="preserve"> phase rule</w:t>
      </w:r>
    </w:p>
    <w:p w14:paraId="64162F9F" w14:textId="03F00E3E" w:rsidR="00B116B8" w:rsidRPr="00EC5244" w:rsidRDefault="00D44889" w:rsidP="00B116B8">
      <w:pPr>
        <w:pStyle w:val="BBAuthorName"/>
        <w:jc w:val="left"/>
        <w:rPr>
          <w:i w:val="0"/>
          <w:lang w:val="en-CA" w:eastAsia="ja-JP"/>
        </w:rPr>
      </w:pPr>
      <w:r w:rsidRPr="00EC5244">
        <w:rPr>
          <w:i w:val="0"/>
          <w:lang w:val="en-CA" w:eastAsia="ja-JP"/>
        </w:rPr>
        <w:t>Seishi Shimizu</w:t>
      </w:r>
      <w:r w:rsidR="00B116B8" w:rsidRPr="00EC5244">
        <w:rPr>
          <w:i w:val="0"/>
          <w:vertAlign w:val="superscript"/>
          <w:lang w:val="en-CA" w:eastAsia="ja-JP"/>
        </w:rPr>
        <w:t>1,</w:t>
      </w:r>
      <w:r w:rsidR="00BA7881" w:rsidRPr="00EC5244">
        <w:rPr>
          <w:i w:val="0"/>
          <w:vertAlign w:val="superscript"/>
          <w:lang w:val="en-CA" w:eastAsia="ja-JP"/>
        </w:rPr>
        <w:t>*</w:t>
      </w:r>
      <w:r w:rsidR="001B4CC2" w:rsidRPr="00EC5244">
        <w:rPr>
          <w:i w:val="0"/>
          <w:lang w:val="en-CA" w:eastAsia="ja-JP"/>
        </w:rPr>
        <w:t xml:space="preserve"> </w:t>
      </w:r>
      <w:r w:rsidR="001C44D4" w:rsidRPr="00EC5244">
        <w:rPr>
          <w:i w:val="0"/>
          <w:lang w:val="en-CA" w:eastAsia="ja-JP"/>
        </w:rPr>
        <w:t xml:space="preserve">and </w:t>
      </w:r>
      <w:r w:rsidR="00B116B8" w:rsidRPr="00EC5244">
        <w:rPr>
          <w:i w:val="0"/>
          <w:lang w:val="en-CA" w:eastAsia="ja-JP"/>
        </w:rPr>
        <w:t>Nobuyuki Matubayasi</w:t>
      </w:r>
      <w:r w:rsidR="00B116B8" w:rsidRPr="00EC5244">
        <w:rPr>
          <w:i w:val="0"/>
          <w:vertAlign w:val="superscript"/>
          <w:lang w:val="en-CA" w:eastAsia="ja-JP"/>
        </w:rPr>
        <w:t>2,3</w:t>
      </w:r>
    </w:p>
    <w:p w14:paraId="422DD655" w14:textId="77777777" w:rsidR="00B116B8" w:rsidRPr="00EC5244" w:rsidRDefault="00B116B8" w:rsidP="00B116B8">
      <w:pPr>
        <w:pStyle w:val="BCAuthorAddress"/>
        <w:jc w:val="left"/>
        <w:rPr>
          <w:lang w:val="en-CA" w:eastAsia="ja-JP"/>
        </w:rPr>
      </w:pPr>
      <w:r w:rsidRPr="00EC5244">
        <w:rPr>
          <w:vertAlign w:val="superscript"/>
          <w:lang w:val="en-CA" w:eastAsia="ja-JP"/>
        </w:rPr>
        <w:t>1</w:t>
      </w:r>
      <w:r w:rsidRPr="00EC5244">
        <w:rPr>
          <w:lang w:val="en-CA" w:eastAsia="ja-JP"/>
        </w:rPr>
        <w:t>York Structural Biology Laboratory, Department of Chemistry, University of York, Heslington, York YO10 5DD, United Kingdom</w:t>
      </w:r>
    </w:p>
    <w:p w14:paraId="73844E7F" w14:textId="77777777" w:rsidR="00B116B8" w:rsidRPr="00EC5244" w:rsidRDefault="00B116B8" w:rsidP="00B116B8">
      <w:pPr>
        <w:pStyle w:val="BCAuthorAddress"/>
        <w:jc w:val="left"/>
        <w:rPr>
          <w:lang w:val="en-CA" w:eastAsia="ja-JP"/>
        </w:rPr>
      </w:pPr>
      <w:r w:rsidRPr="00EC5244">
        <w:rPr>
          <w:vertAlign w:val="superscript"/>
          <w:lang w:val="en-CA"/>
        </w:rPr>
        <w:t>2</w:t>
      </w:r>
      <w:r w:rsidRPr="00EC5244">
        <w:rPr>
          <w:lang w:val="en-CA"/>
        </w:rPr>
        <w:t>Division of Chemical Engineering, Graduate School of Engineering Science, Osaka University, Toyonaka, Osaka 560-8531, Japan</w:t>
      </w:r>
    </w:p>
    <w:p w14:paraId="473AE4B3" w14:textId="39647E9F" w:rsidR="00BB6DF7" w:rsidRPr="00EC5244" w:rsidRDefault="00B116B8" w:rsidP="00BB6DF7">
      <w:pPr>
        <w:pStyle w:val="BCAuthorAddress"/>
        <w:jc w:val="left"/>
        <w:rPr>
          <w:lang w:val="en-CA"/>
        </w:rPr>
      </w:pPr>
      <w:r w:rsidRPr="00EC5244">
        <w:rPr>
          <w:vertAlign w:val="superscript"/>
          <w:lang w:val="en-CA"/>
        </w:rPr>
        <w:t>3</w:t>
      </w:r>
      <w:r w:rsidRPr="00EC5244">
        <w:rPr>
          <w:lang w:val="en-CA"/>
        </w:rPr>
        <w:t>Elements Strategy Initiative for Catalysts and Batteries, Kyoto University, Katsura, Kyoto 615-8520, Japan</w:t>
      </w:r>
    </w:p>
    <w:p w14:paraId="5F5A5A33" w14:textId="77777777" w:rsidR="00BB6DF7" w:rsidRPr="00EC5244" w:rsidRDefault="00BB6DF7" w:rsidP="00BB6DF7">
      <w:pPr>
        <w:pStyle w:val="BIEmailAddress"/>
        <w:rPr>
          <w:lang w:val="en-CA"/>
        </w:rPr>
      </w:pPr>
    </w:p>
    <w:p w14:paraId="5BDF823C" w14:textId="4833E758" w:rsidR="00B116B8" w:rsidRPr="00EC5244" w:rsidRDefault="00B116B8" w:rsidP="00B116B8">
      <w:pPr>
        <w:pStyle w:val="TAMainText"/>
        <w:ind w:firstLine="0"/>
        <w:rPr>
          <w:lang w:val="en-CA"/>
        </w:rPr>
      </w:pPr>
      <w:r w:rsidRPr="00EC5244">
        <w:rPr>
          <w:b/>
          <w:lang w:val="en-CA"/>
        </w:rPr>
        <w:t>KEYWORDS:</w:t>
      </w:r>
      <w:r w:rsidR="001878D0" w:rsidRPr="00EC5244">
        <w:rPr>
          <w:lang w:val="en-CA"/>
        </w:rPr>
        <w:t xml:space="preserve"> Hydrotropy; </w:t>
      </w:r>
      <w:r w:rsidRPr="00EC5244">
        <w:rPr>
          <w:lang w:val="en-CA"/>
        </w:rPr>
        <w:t xml:space="preserve">Water; Cosolvent; Cooperativity; Minimum Hydrotrope Concentration </w:t>
      </w:r>
    </w:p>
    <w:p w14:paraId="739DAD2B" w14:textId="77777777" w:rsidR="00F94D8D" w:rsidRPr="00EC5244" w:rsidRDefault="00F94D8D" w:rsidP="00B116B8">
      <w:pPr>
        <w:pStyle w:val="TAMainText"/>
        <w:ind w:firstLine="0"/>
        <w:rPr>
          <w:lang w:val="en-CA"/>
        </w:rPr>
      </w:pPr>
    </w:p>
    <w:p w14:paraId="544A2251" w14:textId="77777777" w:rsidR="00B116B8" w:rsidRPr="00EC5244" w:rsidRDefault="00B116B8" w:rsidP="00B116B8">
      <w:pPr>
        <w:pStyle w:val="BGKeywords"/>
        <w:rPr>
          <w:b/>
          <w:lang w:val="en-CA"/>
        </w:rPr>
      </w:pPr>
      <w:r w:rsidRPr="00EC5244">
        <w:rPr>
          <w:b/>
          <w:lang w:val="en-CA"/>
        </w:rPr>
        <w:t>AUTHOR INFORMATION</w:t>
      </w:r>
    </w:p>
    <w:p w14:paraId="3B1358C4" w14:textId="77777777" w:rsidR="00B116B8" w:rsidRPr="00EC5244" w:rsidRDefault="00B116B8" w:rsidP="00B116B8">
      <w:pPr>
        <w:pStyle w:val="FACorrespondingAuthorFootnote"/>
        <w:spacing w:after="0"/>
        <w:jc w:val="left"/>
        <w:rPr>
          <w:b/>
          <w:lang w:val="en-CA"/>
        </w:rPr>
      </w:pPr>
      <w:r w:rsidRPr="00EC5244">
        <w:rPr>
          <w:b/>
          <w:lang w:val="en-CA"/>
        </w:rPr>
        <w:t xml:space="preserve">Corresponding Author: </w:t>
      </w:r>
    </w:p>
    <w:p w14:paraId="70411AC9" w14:textId="77777777" w:rsidR="00B116B8" w:rsidRPr="00EC5244" w:rsidRDefault="00B116B8" w:rsidP="00B116B8">
      <w:pPr>
        <w:pStyle w:val="FACorrespondingAuthorFootnote"/>
        <w:spacing w:after="0"/>
        <w:jc w:val="left"/>
        <w:rPr>
          <w:lang w:val="en-CA"/>
        </w:rPr>
      </w:pPr>
      <w:r w:rsidRPr="00EC5244">
        <w:rPr>
          <w:lang w:val="en-CA"/>
        </w:rPr>
        <w:t xml:space="preserve">Seishi Shimizu </w:t>
      </w:r>
    </w:p>
    <w:p w14:paraId="0CAD8B15" w14:textId="77777777" w:rsidR="00B116B8" w:rsidRPr="00EC5244" w:rsidRDefault="00B116B8" w:rsidP="00B116B8">
      <w:pPr>
        <w:pStyle w:val="FACorrespondingAuthorFootnote"/>
        <w:rPr>
          <w:lang w:val="en-CA"/>
        </w:rPr>
      </w:pPr>
      <w:r w:rsidRPr="00EC5244">
        <w:rPr>
          <w:lang w:val="en-CA"/>
        </w:rPr>
        <w:t>York Structural Biology Laboratory, Department of Chemistry, University of York, Heslington, York YO10 5DD, United Kingdom</w:t>
      </w:r>
    </w:p>
    <w:p w14:paraId="78BD540E" w14:textId="77777777" w:rsidR="00B116B8" w:rsidRPr="00EC5244" w:rsidRDefault="00B116B8" w:rsidP="00B116B8">
      <w:pPr>
        <w:pStyle w:val="FACorrespondingAuthorFootnote"/>
        <w:rPr>
          <w:lang w:val="en-CA"/>
        </w:rPr>
      </w:pPr>
      <w:r w:rsidRPr="00EC5244">
        <w:rPr>
          <w:lang w:val="en-CA"/>
        </w:rPr>
        <w:t xml:space="preserve">Tel: +44 1904 328281, Fax: +44 1904 328281, Email: </w:t>
      </w:r>
      <w:hyperlink r:id="rId9" w:history="1">
        <w:r w:rsidRPr="00EC5244">
          <w:rPr>
            <w:rStyle w:val="Hyperlink"/>
            <w:color w:val="auto"/>
            <w:lang w:val="en-CA"/>
          </w:rPr>
          <w:t>seishi.shimizu@york.ac.uk</w:t>
        </w:r>
      </w:hyperlink>
    </w:p>
    <w:p w14:paraId="124E9C78" w14:textId="77777777" w:rsidR="00B116B8" w:rsidRPr="00EC5244" w:rsidRDefault="00B116B8" w:rsidP="00B116B8">
      <w:pPr>
        <w:pStyle w:val="TAMainText"/>
        <w:ind w:firstLine="0"/>
        <w:rPr>
          <w:lang w:val="en-CA"/>
        </w:rPr>
      </w:pPr>
    </w:p>
    <w:p w14:paraId="6CD552FA" w14:textId="77777777" w:rsidR="00B116B8" w:rsidRPr="00EC5244" w:rsidRDefault="00B116B8" w:rsidP="00B116B8">
      <w:pPr>
        <w:pStyle w:val="TAMainText"/>
        <w:ind w:firstLine="0"/>
        <w:rPr>
          <w:b/>
          <w:lang w:val="en-CA"/>
        </w:rPr>
      </w:pPr>
      <w:r w:rsidRPr="00EC5244">
        <w:rPr>
          <w:b/>
          <w:lang w:val="en-CA"/>
        </w:rPr>
        <w:t>ABSTRACT</w:t>
      </w:r>
    </w:p>
    <w:p w14:paraId="79B51C05" w14:textId="77777777" w:rsidR="0060394D" w:rsidRPr="00EC5244" w:rsidRDefault="0060394D" w:rsidP="00B116B8">
      <w:pPr>
        <w:pStyle w:val="TAMainText"/>
        <w:ind w:firstLine="0"/>
        <w:rPr>
          <w:lang w:val="en-CA"/>
        </w:rPr>
      </w:pPr>
    </w:p>
    <w:p w14:paraId="573336A3" w14:textId="50C32295" w:rsidR="00CF4122" w:rsidRPr="00EC5244" w:rsidRDefault="0060394D" w:rsidP="00B116B8">
      <w:pPr>
        <w:pStyle w:val="TAMainText"/>
        <w:ind w:firstLine="0"/>
        <w:rPr>
          <w:lang w:val="en-GB" w:eastAsia="ja-JP"/>
        </w:rPr>
      </w:pPr>
      <w:r w:rsidRPr="00EC5244">
        <w:rPr>
          <w:lang w:val="en-CA"/>
        </w:rPr>
        <w:t xml:space="preserve">The </w:t>
      </w:r>
      <w:r w:rsidR="00836A97" w:rsidRPr="00EC5244">
        <w:rPr>
          <w:lang w:val="en-CA"/>
        </w:rPr>
        <w:t xml:space="preserve">task </w:t>
      </w:r>
      <w:r w:rsidRPr="00EC5244">
        <w:rPr>
          <w:lang w:val="en-CA"/>
        </w:rPr>
        <w:t>of elucidating the mechanism of solubility enhancement using hydrotropes has been hampered by the wide variety of phase behaviour that hydrotropes can exhibit, encompassing near-ideal aqueous solution, self-association, micelle formation, and micro-emulsion</w:t>
      </w:r>
      <w:r w:rsidR="00037B47" w:rsidRPr="00EC5244">
        <w:rPr>
          <w:lang w:val="en-CA"/>
        </w:rPr>
        <w:t>s</w:t>
      </w:r>
      <w:r w:rsidRPr="00EC5244">
        <w:rPr>
          <w:lang w:val="en-CA"/>
        </w:rPr>
        <w:t xml:space="preserve">. Instead of taking a field guide or encyclopedic approach to classify hydrotropes into different molecular classes, we take a rational approach aiming at constructing a unified theory of hydrotropy based upon the first principles of statistical thermodynamics. Achieving this aim can be facilitated by the two key concepts: (1) the Gibbs phase rule as the basis of classifying the hydrotropes in terms of the degrees of freedom and the number of variables to modulate the solvation free energy; (2) the Kirkwood-Buff integrals to quantify the interactions between the species and their relative contributions to the process of solubilization. We demonstrate that the application of the two key concepts can in principle be used to distinguish the different molecular scenarios at work under apparently similar solubility curves observed from experiments. </w:t>
      </w:r>
      <w:r w:rsidR="00B77F33" w:rsidRPr="00EC5244">
        <w:rPr>
          <w:lang w:val="en-CA"/>
        </w:rPr>
        <w:t>In addition, a generalization of our p</w:t>
      </w:r>
      <w:r w:rsidR="00C4181C" w:rsidRPr="00EC5244">
        <w:rPr>
          <w:lang w:val="en-CA"/>
        </w:rPr>
        <w:t xml:space="preserve">revious approach to </w:t>
      </w:r>
      <w:r w:rsidR="00B77F33" w:rsidRPr="00EC5244">
        <w:rPr>
          <w:lang w:val="en-CA"/>
        </w:rPr>
        <w:t xml:space="preserve">solutes </w:t>
      </w:r>
      <w:r w:rsidR="00C4181C" w:rsidRPr="00EC5244">
        <w:rPr>
          <w:lang w:val="en-CA"/>
        </w:rPr>
        <w:t xml:space="preserve">beyond dilution </w:t>
      </w:r>
      <w:r w:rsidR="00B77F33" w:rsidRPr="00EC5244">
        <w:rPr>
          <w:lang w:val="en-CA"/>
        </w:rPr>
        <w:t xml:space="preserve">reveals the unified mechanism of hydrotropy, driven by a strong solute-hydrotrope interaction which overcomes the apparent per-hydrotrope inefficiency due to hydrotrope self-clustering. </w:t>
      </w:r>
    </w:p>
    <w:p w14:paraId="7A503CEA" w14:textId="546FE88C" w:rsidR="00804353" w:rsidRPr="00EC5244" w:rsidRDefault="00804353" w:rsidP="00B116B8">
      <w:pPr>
        <w:pStyle w:val="TAMainText"/>
        <w:ind w:firstLine="0"/>
        <w:rPr>
          <w:lang w:val="en-CA"/>
        </w:rPr>
      </w:pPr>
    </w:p>
    <w:p w14:paraId="3ADA42C6" w14:textId="63C34772" w:rsidR="00B116B8" w:rsidRPr="00EC5244" w:rsidRDefault="001C44D4" w:rsidP="001C44D4">
      <w:pPr>
        <w:pStyle w:val="TAMainText"/>
        <w:ind w:firstLine="0"/>
        <w:rPr>
          <w:b/>
          <w:lang w:val="en-CA"/>
        </w:rPr>
      </w:pPr>
      <w:r w:rsidRPr="00EC5244">
        <w:rPr>
          <w:b/>
          <w:lang w:val="en-CA"/>
        </w:rPr>
        <w:t xml:space="preserve">1. </w:t>
      </w:r>
      <w:r w:rsidR="00C45E0A" w:rsidRPr="00EC5244">
        <w:rPr>
          <w:b/>
          <w:lang w:val="en-CA"/>
        </w:rPr>
        <w:t>Introduction</w:t>
      </w:r>
    </w:p>
    <w:p w14:paraId="5598D0E1" w14:textId="77777777" w:rsidR="00612922" w:rsidRPr="00EC5244" w:rsidRDefault="00612922" w:rsidP="001C44D4">
      <w:pPr>
        <w:pStyle w:val="TAMainText"/>
        <w:ind w:firstLine="0"/>
        <w:rPr>
          <w:b/>
          <w:lang w:val="en-CA"/>
        </w:rPr>
      </w:pPr>
    </w:p>
    <w:p w14:paraId="49F24BD0" w14:textId="108604E5" w:rsidR="001C44D4" w:rsidRPr="00EC5244" w:rsidRDefault="00C035D6" w:rsidP="001C44D4">
      <w:pPr>
        <w:pStyle w:val="TAMainText"/>
        <w:rPr>
          <w:color w:val="FF0000"/>
          <w:lang w:val="en-CA"/>
        </w:rPr>
      </w:pPr>
      <w:r w:rsidRPr="00EC5244">
        <w:rPr>
          <w:lang w:val="en-CA"/>
        </w:rPr>
        <w:t>The</w:t>
      </w:r>
      <w:r w:rsidR="00407833" w:rsidRPr="00EC5244">
        <w:rPr>
          <w:lang w:val="en-CA"/>
        </w:rPr>
        <w:t xml:space="preserve"> </w:t>
      </w:r>
      <w:r w:rsidR="00F65773" w:rsidRPr="00EC5244">
        <w:rPr>
          <w:lang w:val="en-CA"/>
        </w:rPr>
        <w:t>difficulty in</w:t>
      </w:r>
      <w:r w:rsidR="001C44D4" w:rsidRPr="00EC5244">
        <w:rPr>
          <w:lang w:val="en-CA"/>
        </w:rPr>
        <w:t xml:space="preserve"> elucidating </w:t>
      </w:r>
      <w:r w:rsidR="00F65773" w:rsidRPr="00EC5244">
        <w:rPr>
          <w:lang w:val="en-CA"/>
        </w:rPr>
        <w:t>the</w:t>
      </w:r>
      <w:r w:rsidR="000F5E8F" w:rsidRPr="00EC5244">
        <w:rPr>
          <w:lang w:val="en-CA"/>
        </w:rPr>
        <w:t xml:space="preserve"> </w:t>
      </w:r>
      <w:r w:rsidR="00407833" w:rsidRPr="00EC5244">
        <w:rPr>
          <w:lang w:val="en-CA"/>
        </w:rPr>
        <w:t xml:space="preserve">origin and </w:t>
      </w:r>
      <w:r w:rsidR="000F5E8F" w:rsidRPr="00EC5244">
        <w:rPr>
          <w:lang w:val="en-CA"/>
        </w:rPr>
        <w:t xml:space="preserve">mechanism of hydrotropy </w:t>
      </w:r>
      <w:r w:rsidRPr="00EC5244">
        <w:rPr>
          <w:lang w:val="en-CA"/>
        </w:rPr>
        <w:t>has been</w:t>
      </w:r>
      <w:r w:rsidR="00407833" w:rsidRPr="00EC5244">
        <w:rPr>
          <w:lang w:val="en-CA"/>
        </w:rPr>
        <w:t xml:space="preserve"> </w:t>
      </w:r>
      <w:r w:rsidR="00037B47" w:rsidRPr="00EC5244">
        <w:rPr>
          <w:lang w:val="en-CA"/>
        </w:rPr>
        <w:t xml:space="preserve">a </w:t>
      </w:r>
      <w:r w:rsidR="00F65773" w:rsidRPr="00EC5244">
        <w:rPr>
          <w:lang w:val="en-CA"/>
        </w:rPr>
        <w:t xml:space="preserve">major stumbling block for </w:t>
      </w:r>
      <w:r w:rsidR="001C44D4" w:rsidRPr="00EC5244">
        <w:rPr>
          <w:lang w:val="en-CA"/>
        </w:rPr>
        <w:t xml:space="preserve">its </w:t>
      </w:r>
      <w:r w:rsidR="00407833" w:rsidRPr="00EC5244">
        <w:rPr>
          <w:lang w:val="en-CA"/>
        </w:rPr>
        <w:t>rational exploitation.</w:t>
      </w:r>
      <w:r w:rsidR="004722FE" w:rsidRPr="00EC5244">
        <w:rPr>
          <w:lang w:val="en-CA"/>
        </w:rPr>
        <w:fldChar w:fldCharType="begin" w:fldLock="1"/>
      </w:r>
      <w:r w:rsidR="004D1EB5" w:rsidRPr="00EC5244">
        <w:rPr>
          <w:lang w:val="en-CA"/>
        </w:rPr>
        <w:instrText>ADDIN CSL_CITATION { "citationItems" : [ { "id" : "ITEM-1", "itemData" : { "author" : [ { "dropping-particle" : "", "family" : "Neuberg", "given" : "C", "non-dropping-particle" : "", "parse-names" : false, "suffix" : "" } ], "container-title" : "Biochem. Z.", "id" : "ITEM-1", "issued" : { "date-parts" : [ [ "1912" ] ] }, "page" : "107-176", "title" : "No Title", "type" : "article-journal", "volume" : "76" }, "uris" : [ "http://www.mendeley.com/documents/?uuid=c62cd791-1d83-4025-9419-1ae7d21afb75" ] }, { "id" : "ITEM-2",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"ITEM-2",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"ITEM-3", "itemData" : { "DOI" : "10.1016/S1359-0294(97)80096-9", "ISSN" : "13590294", "author" : [ { "dropping-particle" : "", "family" : "Friberg", "given" : "Stig E", "non-dropping-particle" : "", "parse-names" : false, "suffix" : "" } ], "container-title" : "Current Opinion in Colloid &amp; Interface Science", "id" : "ITEM-3", "issue" : "5", "issued" : { "date-parts" : [ [ "1997" ] ] }, "page" : "490-494", "title" : "Hydrotropes", "type" : "article-journal", "volume" : "2" }, "uris" : [ "http://www.mendeley.com/documents/?uuid=58eee903-4e76-4db2-a069-e661db86f8bd" ] }, { "id" : "ITEM-4",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"ITEM-4", "issue" : "15", "issued" : { "date-parts" : [ [ "2005" ] ] }, "page" : "6769-6775", "title" : "Unified concept of solubilization in water by hydrotropes and cosolvents", "type" : "article-journal", "volume" : "21" }, "uris" : [ "http://www.mendeley.com/documents/?uuid=cf2364fb-608e-485a-a173-755877699eea" ] }, { "id" : "ITEM-5",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"ITEM-5", "issue" : "3", "issued" : { "date-parts" : [ [ "2007", "6" ] ] }, "page" : "121-128", "title" : "Hydrotropic solutions", "type" : "article-journal", "volume" : "12" }, "uris" : [ "http://www.mendeley.com/documents/?uuid=27867417-36cf-3b36-bc87-a8216d7a4500" ] }, { "id" : "ITEM-6", "itemData" : { "DOI" : "10.1002/ceat.201100484", "ISSN" : "09307516", "author" : [ { "dropping-particle" : "V.", "family" : "Subbarao", "given" : "C.", "non-dropping-particle" : "", "parse-names" : false, "suffix" : "" }, { "dropping-particle" : "", "family" : "Chakravarthy", "given" : "I. P. K.", "non-dropping-particle" : "", "parse-names" : false, "suffix" : "" }, { "dropping-particle" : "", "family" : "Sai Bharadwaj", "given" : "A. V. S. L.", "non-dropping-particle" : "", "parse-names" : false, "suffix" : "" }, { "dropping-particle" : "", "family" : "Prasad", "given" : "K. M. M.", "non-dropping-particle" : "", "parse-names" : false, "suffix" : "" } ], "container-title" : "Chemical Engineering &amp; Technology", "id" : "ITEM-6", "issue" : "2", "issued" : { "date-parts" : [ [ "2012", "2" ] ] }, "page" : "225-237", "publisher" : "WILEY\u2010VCH Verlag", "title" : "Functions of Hydrotropes in Solutions", "type" : "article-journal", "volume" : "35" }, "uris" : [ "http://www.mendeley.com/documents/?uuid=9622becc-1518-31a7-b192-f676f230d788" ] }, { "id" : "ITEM-7",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"ITEM-7", "issued" : { "date-parts" : [ [ "2016" ] ] }, "page" : "99-107", "title" : "Hydrotropes", "type" : "article-journal", "volume" : "22" }, "uris" : [ "http://www.mendeley.com/documents/?uuid=c63892f6-f40b-4433-a7ae-392ad4c78409" ] } ], "mendeley" : { "formattedCitation" : "&lt;sup&gt;1\u20137&lt;/sup&gt;", "plainTextFormattedCitation" : "1\u20137", "previouslyFormattedCitation" : "&lt;sup&gt;1\u20137&lt;/sup&gt;" }, "properties" : { "noteIndex" : 0 }, "schema" : "https://github.com/citation-style-language/schema/raw/master/csl-citation.json" }</w:instrText>
      </w:r>
      <w:r w:rsidR="004722FE" w:rsidRPr="00EC5244">
        <w:rPr>
          <w:lang w:val="en-CA"/>
        </w:rPr>
        <w:fldChar w:fldCharType="separate"/>
      </w:r>
      <w:r w:rsidR="004D1EB5" w:rsidRPr="00EC5244">
        <w:rPr>
          <w:noProof/>
          <w:vertAlign w:val="superscript"/>
          <w:lang w:val="en-CA"/>
        </w:rPr>
        <w:t>1–7</w:t>
      </w:r>
      <w:r w:rsidR="004722FE" w:rsidRPr="00EC5244">
        <w:rPr>
          <w:lang w:val="en-CA"/>
        </w:rPr>
        <w:fldChar w:fldCharType="end"/>
      </w:r>
      <w:r w:rsidR="00407833" w:rsidRPr="00EC5244">
        <w:rPr>
          <w:lang w:val="en-CA"/>
        </w:rPr>
        <w:t xml:space="preserve"> T</w:t>
      </w:r>
      <w:r w:rsidR="000F5E8F" w:rsidRPr="00EC5244">
        <w:rPr>
          <w:lang w:val="en-CA"/>
        </w:rPr>
        <w:t>his difficulty</w:t>
      </w:r>
      <w:r w:rsidR="00407833" w:rsidRPr="00EC5244">
        <w:rPr>
          <w:lang w:val="en-CA"/>
        </w:rPr>
        <w:t>, as we believe,</w:t>
      </w:r>
      <w:r w:rsidR="000F5E8F" w:rsidRPr="00EC5244">
        <w:rPr>
          <w:lang w:val="en-CA"/>
        </w:rPr>
        <w:t xml:space="preserve"> owes in</w:t>
      </w:r>
      <w:r w:rsidR="00407833" w:rsidRPr="00EC5244">
        <w:rPr>
          <w:lang w:val="en-CA"/>
        </w:rPr>
        <w:t xml:space="preserve"> large part to the following definition of hydrotropy (</w:t>
      </w:r>
      <w:r w:rsidR="00F65773" w:rsidRPr="00EC5244">
        <w:rPr>
          <w:lang w:val="en-CA"/>
        </w:rPr>
        <w:t xml:space="preserve">which is broad, inclusive </w:t>
      </w:r>
      <w:r w:rsidR="00407833" w:rsidRPr="00EC5244">
        <w:rPr>
          <w:lang w:val="en-CA"/>
        </w:rPr>
        <w:t xml:space="preserve">and ambiguous) </w:t>
      </w:r>
      <w:r w:rsidR="001C44D4" w:rsidRPr="00EC5244">
        <w:rPr>
          <w:lang w:val="en-CA"/>
        </w:rPr>
        <w:t>as small, organic and amphiphilic molecules that, when added to water, can drastically increase the aqueous sol</w:t>
      </w:r>
      <w:r w:rsidR="00F65773" w:rsidRPr="00EC5244">
        <w:rPr>
          <w:lang w:val="en-CA"/>
        </w:rPr>
        <w:t>ubility of hydrophobic solutes</w:t>
      </w:r>
      <w:r w:rsidR="001C44D4" w:rsidRPr="00EC5244">
        <w:rPr>
          <w:lang w:val="en-CA"/>
        </w:rPr>
        <w:t>.</w:t>
      </w:r>
      <w:r w:rsidR="004D1EB5" w:rsidRPr="00EC5244">
        <w:rPr>
          <w:lang w:val="en-CA"/>
        </w:rPr>
        <w:t xml:space="preserve"> </w:t>
      </w:r>
      <w:r w:rsidR="004D1EB5" w:rsidRPr="00EC5244">
        <w:rPr>
          <w:lang w:val="en-CA"/>
        </w:rPr>
        <w:fldChar w:fldCharType="begin" w:fldLock="1"/>
      </w:r>
      <w:r w:rsidR="004D1EB5" w:rsidRPr="00EC5244">
        <w:rPr>
          <w:lang w:val="en-CA"/>
        </w:rPr>
        <w:instrText>ADDIN CSL_CITATION { "citationItems" : [ { "id" : "ITEM-1", "itemData" : { "author" : [ { "dropping-particle" : "", "family" : "Neuberg", "given" : "C", "non-dropping-particle" : "", "parse-names" : false, "suffix" : "" } ], "container-title" : "Biochem. Z.", "id" : "ITEM-1", "issued" : { "date-parts" : [ [ "1912" ] ] }, "page" : "107-176", "title" : "No Title", "type" : "article-journal", "volume" : "76" }, "uris" : [ "http://www.mendeley.com/documents/?uuid=c62cd791-1d83-4025-9419-1ae7d21afb75" ] }, { "id" : "ITEM-2",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"ITEM-2",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"ITEM-3", "itemData" : { "DOI" : "10.1016/S1359-0294(97)80096-9", "ISSN" : "13590294", "author" : [ { "dropping-particle" : "", "family" : "Friberg", "given" : "Stig E", "non-dropping-particle" : "", "parse-names" : false, "suffix" : "" } ], "container-title" : "Current Opinion in Colloid &amp; Interface Science", "id" : "ITEM-3", "issue" : "5", "issued" : { "date-parts" : [ [ "1997" ] ] }, "page" : "490-494", "title" : "Hydrotropes", "type" : "article-journal", "volume" : "2" }, "uris" : [ "http://www.mendeley.com/documents/?uuid=58eee903-4e76-4db2-a069-e661db86f8bd" ] }, { "id" : "ITEM-4",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"ITEM-4", "issue" : "15", "issued" : { "date-parts" : [ [ "2005" ] ] }, "page" : "6769-6775", "title" : "Unified concept of solubilization in water by hydrotropes and cosolvents", "type" : "article-journal", "volume" : "21" }, "uris" : [ "http://www.mendeley.com/documents/?uuid=cf2364fb-608e-485a-a173-755877699eea" ] }, { "id" : "ITEM-5",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"ITEM-5", "issue" : "3", "issued" : { "date-parts" : [ [ "2007", "6" ] ] }, "page" : "121-128", "title" : "Hydrotropic solutions", "type" : "article-journal", "volume" : "12" }, "uris" : [ "http://www.mendeley.com/documents/?uuid=27867417-36cf-3b36-bc87-a8216d7a4500" ] }, { "id" : "ITEM-6", "itemData" : { "DOI" : "10.1002/ceat.201100484", "ISSN" : "09307516", "author" : [ { "dropping-particle" : "V.", "family" : "Subbarao", "given" : "C.", "non-dropping-particle" : "", "parse-names" : false, "suffix" : "" }, { "dropping-particle" : "", "family" : "Chakravarthy", "given" : "I. P. K.", "non-dropping-particle" : "", "parse-names" : false, "suffix" : "" }, { "dropping-particle" : "", "family" : "Sai Bharadwaj", "given" : "A. V. S. L.", "non-dropping-particle" : "", "parse-names" : false, "suffix" : "" }, { "dropping-particle" : "", "family" : "Prasad", "given" : "K. M. M.", "non-dropping-particle" : "", "parse-names" : false, "suffix" : "" } ], "container-title" : "Chemical Engineering &amp; Technology", "id" : "ITEM-6", "issue" : "2", "issued" : { "date-parts" : [ [ "2012", "2" ] ] }, "page" : "225-237", "publisher" : "WILEY\u2010VCH Verlag", "title" : "Functions of Hydrotropes in Solutions", "type" : "article-journal", "volume" : "35" }, "uris" : [ "http://www.mendeley.com/documents/?uuid=9622becc-1518-31a7-b192-f676f230d788" ] }, { "id" : "ITEM-7",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"ITEM-7", "issued" : { "date-parts" : [ [ "2016" ] ] }, "page" : "99-107", "title" : "Hydrotropes", "type" : "article-journal", "volume" : "22" }, "uris" : [ "http://www.mendeley.com/documents/?uuid=c63892f6-f40b-4433-a7ae-392ad4c78409" ] } ], "mendeley" : { "formattedCitation" : "&lt;sup&gt;1\u20137&lt;/sup&gt;", "plainTextFormattedCitation" : "1\u20137", "previouslyFormattedCitation" : "&lt;sup&gt;1\u20137&lt;/sup&gt;" }, "properties" : { "noteIndex" : 0 }, "schema" : "https://github.com/citation-style-language/schema/raw/master/csl-citation.json" }</w:instrText>
      </w:r>
      <w:r w:rsidR="004D1EB5" w:rsidRPr="00EC5244">
        <w:rPr>
          <w:lang w:val="en-CA"/>
        </w:rPr>
        <w:fldChar w:fldCharType="separate"/>
      </w:r>
      <w:r w:rsidR="004D1EB5" w:rsidRPr="00EC5244">
        <w:rPr>
          <w:noProof/>
          <w:vertAlign w:val="superscript"/>
          <w:lang w:val="en-CA"/>
        </w:rPr>
        <w:t>1–7</w:t>
      </w:r>
      <w:r w:rsidR="004D1EB5" w:rsidRPr="00EC5244">
        <w:rPr>
          <w:lang w:val="en-CA"/>
        </w:rPr>
        <w:fldChar w:fldCharType="end"/>
      </w:r>
      <w:r w:rsidR="001C44D4" w:rsidRPr="00EC5244">
        <w:rPr>
          <w:lang w:val="en-CA"/>
        </w:rPr>
        <w:t xml:space="preserve"> </w:t>
      </w:r>
      <w:r w:rsidR="00F65773" w:rsidRPr="00EC5244">
        <w:rPr>
          <w:lang w:val="en-CA"/>
        </w:rPr>
        <w:t>This definition admits urea (</w:t>
      </w:r>
      <w:r w:rsidR="001C44D4" w:rsidRPr="00EC5244">
        <w:rPr>
          <w:lang w:val="en-CA"/>
        </w:rPr>
        <w:t>which form</w:t>
      </w:r>
      <w:r w:rsidR="00F65773" w:rsidRPr="00EC5244">
        <w:rPr>
          <w:lang w:val="en-CA"/>
        </w:rPr>
        <w:t xml:space="preserve">s near-ideal mixture with water) and </w:t>
      </w:r>
      <w:r w:rsidR="001C44D4" w:rsidRPr="00EC5244">
        <w:rPr>
          <w:lang w:val="en-CA"/>
        </w:rPr>
        <w:t xml:space="preserve">surfactants </w:t>
      </w:r>
      <w:r w:rsidR="00F65773" w:rsidRPr="00EC5244">
        <w:rPr>
          <w:lang w:val="en-CA"/>
        </w:rPr>
        <w:t>(that self-associate in water to form micelles) under the same umbrella</w:t>
      </w:r>
      <w:r w:rsidR="00A16D86" w:rsidRPr="00EC5244">
        <w:t xml:space="preserve">, leading </w:t>
      </w:r>
      <w:r w:rsidR="00E55FD7" w:rsidRPr="00EC5244">
        <w:rPr>
          <w:lang w:val="en-CA"/>
        </w:rPr>
        <w:t xml:space="preserve">to a classical misattribution of the mechanism of </w:t>
      </w:r>
      <w:r w:rsidR="002D3E3C" w:rsidRPr="00EC5244">
        <w:rPr>
          <w:lang w:val="en-CA"/>
        </w:rPr>
        <w:t>small molecule hydrotropy to hydrotrope</w:t>
      </w:r>
      <w:r w:rsidR="00E55FD7" w:rsidRPr="00EC5244">
        <w:rPr>
          <w:lang w:val="en-CA"/>
        </w:rPr>
        <w:t xml:space="preserve"> </w:t>
      </w:r>
      <w:r w:rsidR="002D3E3C" w:rsidRPr="00EC5244">
        <w:rPr>
          <w:lang w:val="en-CA"/>
        </w:rPr>
        <w:t xml:space="preserve">self-association in the bulk phase, which is against the </w:t>
      </w:r>
      <w:r w:rsidR="000F5E8F" w:rsidRPr="00EC5244">
        <w:rPr>
          <w:lang w:val="en-CA"/>
        </w:rPr>
        <w:t>observed near-</w:t>
      </w:r>
      <w:r w:rsidR="002D3E3C" w:rsidRPr="00EC5244">
        <w:rPr>
          <w:lang w:val="en-CA"/>
        </w:rPr>
        <w:t>ideal mixing of urea with water.</w:t>
      </w:r>
      <w:r w:rsidR="004D1EB5" w:rsidRPr="00EC5244">
        <w:rPr>
          <w:lang w:val="en-CA"/>
        </w:rPr>
        <w:fldChar w:fldCharType="begin" w:fldLock="1"/>
      </w:r>
      <w:r w:rsidR="004D1EB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"ITEM-5", "issue" : "36", "issued" : { "date-parts" : [ [ "2016" ] ] }, "page" : "25621-25628", "publisher" : "Royal Society of Chemistry", "title" : "The origin of cooperative solubilisation by hydrotropes", "type" : "article-journal", "volume" : "18" }, "uris" : [ "http://www.mendeley.com/documents/?uuid=dcc5121c-094a-4702-bc34-1086a5612e68" ] }, { "id" : "ITEM-6",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"ITEM-6",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"&lt;sup&gt;8\u201313&lt;/sup&gt;", "plainTextFormattedCitation" : "8\u201313", "previouslyFormattedCitation" : "&lt;sup&gt;8\u201313&lt;/sup&gt;" }, "properties" : { "noteIndex" : 0 }, "schema" : "https://github.com/citation-style-language/schema/raw/master/csl-citation.json" }</w:instrText>
      </w:r>
      <w:r w:rsidR="004D1EB5" w:rsidRPr="00EC5244">
        <w:rPr>
          <w:lang w:val="en-CA"/>
        </w:rPr>
        <w:fldChar w:fldCharType="separate"/>
      </w:r>
      <w:r w:rsidR="004D1EB5" w:rsidRPr="00EC5244">
        <w:rPr>
          <w:noProof/>
          <w:vertAlign w:val="superscript"/>
          <w:lang w:val="en-CA"/>
        </w:rPr>
        <w:t>8–13</w:t>
      </w:r>
      <w:r w:rsidR="004D1EB5" w:rsidRPr="00EC5244">
        <w:rPr>
          <w:lang w:val="en-CA"/>
        </w:rPr>
        <w:fldChar w:fldCharType="end"/>
      </w:r>
      <w:r w:rsidR="000C3939" w:rsidRPr="00EC5244">
        <w:rPr>
          <w:lang w:val="en-CA"/>
        </w:rPr>
        <w:t xml:space="preserve"> </w:t>
      </w:r>
      <w:r w:rsidR="004D4B3C" w:rsidRPr="00EC5244">
        <w:rPr>
          <w:lang w:val="en-CA"/>
        </w:rPr>
        <w:t>Although</w:t>
      </w:r>
      <w:r w:rsidR="00C36BDA" w:rsidRPr="00EC5244">
        <w:rPr>
          <w:lang w:val="en-CA"/>
        </w:rPr>
        <w:t xml:space="preserve"> </w:t>
      </w:r>
      <w:r w:rsidR="000C3939" w:rsidRPr="00EC5244">
        <w:rPr>
          <w:lang w:val="en-CA"/>
        </w:rPr>
        <w:t xml:space="preserve">micelles </w:t>
      </w:r>
      <w:r w:rsidR="00B01A3C" w:rsidRPr="00EC5244">
        <w:rPr>
          <w:lang w:val="en-CA"/>
        </w:rPr>
        <w:t xml:space="preserve">are </w:t>
      </w:r>
      <w:r w:rsidR="00EF48AC" w:rsidRPr="00EC5244">
        <w:rPr>
          <w:lang w:val="en-CA"/>
        </w:rPr>
        <w:t xml:space="preserve">typically </w:t>
      </w:r>
      <w:r w:rsidR="000C3939" w:rsidRPr="00EC5244">
        <w:rPr>
          <w:lang w:val="en-CA"/>
        </w:rPr>
        <w:t>excluded from the category of hydrotropes</w:t>
      </w:r>
      <w:r w:rsidR="00C36BDA" w:rsidRPr="00EC5244">
        <w:rPr>
          <w:lang w:val="en-CA"/>
        </w:rPr>
        <w:t xml:space="preserve"> </w:t>
      </w:r>
      <w:r w:rsidR="004D4B3C" w:rsidRPr="00EC5244">
        <w:rPr>
          <w:lang w:val="en-CA"/>
        </w:rPr>
        <w:t>in the modern literature</w:t>
      </w:r>
      <w:r w:rsidR="000C3939" w:rsidRPr="00EC5244">
        <w:rPr>
          <w:lang w:val="en-CA"/>
        </w:rPr>
        <w:t>,</w:t>
      </w:r>
      <w:r w:rsidR="00C36BDA" w:rsidRPr="00EC5244">
        <w:rPr>
          <w:lang w:val="en-CA"/>
        </w:rPr>
        <w:t xml:space="preserve"> an </w:t>
      </w:r>
      <w:r w:rsidR="000C3939" w:rsidRPr="00EC5244">
        <w:rPr>
          <w:lang w:val="en-CA"/>
        </w:rPr>
        <w:t>analogy</w:t>
      </w:r>
      <w:r w:rsidR="00EF1F5B" w:rsidRPr="00EC5244">
        <w:rPr>
          <w:lang w:val="en-CA"/>
        </w:rPr>
        <w:t xml:space="preserve"> with micelles have </w:t>
      </w:r>
      <w:r w:rsidR="00B01A3C" w:rsidRPr="00EC5244">
        <w:rPr>
          <w:lang w:val="en-CA"/>
        </w:rPr>
        <w:t xml:space="preserve">often </w:t>
      </w:r>
      <w:r w:rsidR="00EF1F5B" w:rsidRPr="00EC5244">
        <w:rPr>
          <w:lang w:val="en-CA"/>
        </w:rPr>
        <w:t>been invoked in the attempts to elucidate how hydrotropes work.</w:t>
      </w:r>
      <w:r w:rsidR="00EF1F5B" w:rsidRPr="00EC5244">
        <w:rPr>
          <w:lang w:val="en-CA"/>
        </w:rPr>
        <w:fldChar w:fldCharType="begin" w:fldLock="1"/>
      </w:r>
      <w:r w:rsidR="00EF1F5B" w:rsidRPr="00EC5244">
        <w:rPr>
          <w:lang w:val="en-CA"/>
        </w:rPr>
        <w:instrText>ADDIN CSL_CITATION { "citationItems" : [ { "id" : "ITEM-1", "itemData" : { "author" : [ { "dropping-particle" : "", "family" : "Neuberg", "given" : "C", "non-dropping-particle" : "", "parse-names" : false, "suffix" : "" } ], "container-title" : "Biochem. Z.", "id" : "ITEM-1", "issued" : { "date-parts" : [ [ "1912" ] ] }, "page" : "107-176", "title" : "No Title", "type" : "article-journal", "volume" : "76" }, "uris" : [ "http://www.mendeley.com/documents/?uuid=c62cd791-1d83-4025-9419-1ae7d21afb75" ] }, { "id" : "ITEM-2",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"ITEM-2",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"ITEM-3", "itemData" : { "DOI" : "10.1016/S1359-0294(97)80096-9", "ISSN" : "13590294", "author" : [ { "dropping-particle" : "", "family" : "Friberg", "given" : "Stig E", "non-dropping-particle" : "", "parse-names" : false, "suffix" : "" } ], "container-title" : "Current Opinion in Colloid &amp; Interface Science", "id" : "ITEM-3", "issue" : "5", "issued" : { "date-parts" : [ [ "1997" ] ] }, "page" : "490-494", "title" : "Hydrotropes", "type" : "article-journal", "volume" : "2" }, "uris" : [ "http://www.mendeley.com/documents/?uuid=58eee903-4e76-4db2-a069-e661db86f8bd" ] }, { "id" : "ITEM-4",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"ITEM-4", "issue" : "15", "issued" : { "date-parts" : [ [ "2005" ] ] }, "page" : "6769-6775", "title" : "Unified concept of solubilization in water by hydrotropes and cosolvents", "type" : "article-journal", "volume" : "21" }, "uris" : [ "http://www.mendeley.com/documents/?uuid=cf2364fb-608e-485a-a173-755877699eea" ] }, { "id" : "ITEM-5",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"ITEM-5", "issue" : "3", "issued" : { "date-parts" : [ [ "2007", "6" ] ] }, "page" : "121-128", "title" : "Hydrotropic solutions", "type" : "article-journal", "volume" : "12" }, "uris" : [ "http://www.mendeley.com/documents/?uuid=27867417-36cf-3b36-bc87-a8216d7a4500" ] }, { "id" : "ITEM-6", "itemData" : { "DOI" : "10.1002/ceat.201100484", "ISSN" : "09307516", "author" : [ { "dropping-particle" : "V.", "family" : "Subbarao", "given" : "C.", "non-dropping-particle" : "", "parse-names" : false, "suffix" : "" }, { "dropping-particle" : "", "family" : "Chakravarthy", "given" : "I. P. K.", "non-dropping-particle" : "", "parse-names" : false, "suffix" : "" }, { "dropping-particle" : "", "family" : "Sai Bharadwaj", "given" : "A. V. S. L.", "non-dropping-particle" : "", "parse-names" : false, "suffix" : "" }, { "dropping-particle" : "", "family" : "Prasad", "given" : "K. M. M.", "non-dropping-particle" : "", "parse-names" : false, "suffix" : "" } ], "container-title" : "Chemical Engineering &amp; Technology", "id" : "ITEM-6", "issue" : "2", "issued" : { "date-parts" : [ [ "2012", "2" ] ] }, "page" : "225-237", "publisher" : "WILEY\u2010VCH Verlag", "title" : "Functions of Hydrotropes in Solutions", "type" : "article-journal", "volume" : "35" }, "uris" : [ "http://www.mendeley.com/documents/?uuid=9622becc-1518-31a7-b192-f676f230d788" ] }, { "id" : "ITEM-7",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"ITEM-7", "issued" : { "date-parts" : [ [ "2016" ] ] }, "page" : "99-107", "title" : "Hydrotropes", "type" : "article-journal", "volume" : "22" }, "uris" : [ "http://www.mendeley.com/documents/?uuid=c63892f6-f40b-4433-a7ae-392ad4c78409" ] } ], "mendeley" : { "formattedCitation" : "&lt;sup&gt;1\u20137&lt;/sup&gt;", "plainTextFormattedCitation" : "1\u20137", "previouslyFormattedCitation" : "&lt;sup&gt;1\u20137&lt;/sup&gt;" }, "properties" : { "noteIndex" : 0 }, "schema" : "https://github.com/citation-style-language/schema/raw/master/csl-citation.json" }</w:instrText>
      </w:r>
      <w:r w:rsidR="00EF1F5B" w:rsidRPr="00EC5244">
        <w:rPr>
          <w:lang w:val="en-CA"/>
        </w:rPr>
        <w:fldChar w:fldCharType="separate"/>
      </w:r>
      <w:r w:rsidR="00EF1F5B" w:rsidRPr="00EC5244">
        <w:rPr>
          <w:noProof/>
          <w:vertAlign w:val="superscript"/>
          <w:lang w:val="en-CA"/>
        </w:rPr>
        <w:t>1–7</w:t>
      </w:r>
      <w:r w:rsidR="00EF1F5B" w:rsidRPr="00EC5244">
        <w:rPr>
          <w:lang w:val="en-CA"/>
        </w:rPr>
        <w:fldChar w:fldCharType="end"/>
      </w:r>
      <w:r w:rsidR="00EF1F5B" w:rsidRPr="00EC5244">
        <w:rPr>
          <w:color w:val="FF0000"/>
          <w:lang w:val="en-CA"/>
        </w:rPr>
        <w:t xml:space="preserve"> </w:t>
      </w:r>
    </w:p>
    <w:p w14:paraId="076CCD2B" w14:textId="77777777" w:rsidR="001C44D4" w:rsidRPr="00EC5244" w:rsidRDefault="001C44D4" w:rsidP="001C44D4">
      <w:pPr>
        <w:pStyle w:val="TAMainText"/>
        <w:rPr>
          <w:lang w:val="en-CA"/>
        </w:rPr>
      </w:pPr>
    </w:p>
    <w:p w14:paraId="15689041" w14:textId="7F905451" w:rsidR="005A14A3" w:rsidRPr="00EC5244" w:rsidRDefault="00C035D6" w:rsidP="005A14A3">
      <w:pPr>
        <w:pStyle w:val="TAMainText"/>
        <w:rPr>
          <w:lang w:val="en-CA"/>
        </w:rPr>
      </w:pPr>
      <w:r w:rsidRPr="00EC5244">
        <w:rPr>
          <w:lang w:val="en-CA"/>
        </w:rPr>
        <w:t xml:space="preserve">Indeed, </w:t>
      </w:r>
      <w:r w:rsidR="006F0466" w:rsidRPr="00EC5244">
        <w:rPr>
          <w:lang w:val="en-CA"/>
        </w:rPr>
        <w:t xml:space="preserve">hypotheses on the mechanism of </w:t>
      </w:r>
      <w:r w:rsidR="00360D11" w:rsidRPr="00EC5244">
        <w:rPr>
          <w:lang w:val="en-CA"/>
        </w:rPr>
        <w:t>hydro</w:t>
      </w:r>
      <w:r w:rsidR="00C57809" w:rsidRPr="00EC5244">
        <w:rPr>
          <w:lang w:val="en-CA"/>
        </w:rPr>
        <w:t>tro</w:t>
      </w:r>
      <w:r w:rsidR="00360D11" w:rsidRPr="00EC5244">
        <w:rPr>
          <w:lang w:val="en-CA"/>
        </w:rPr>
        <w:t>p</w:t>
      </w:r>
      <w:r w:rsidRPr="00EC5244">
        <w:rPr>
          <w:lang w:val="en-CA"/>
        </w:rPr>
        <w:t>y</w:t>
      </w:r>
      <w:r w:rsidR="006F0466" w:rsidRPr="00EC5244">
        <w:rPr>
          <w:lang w:val="en-CA"/>
        </w:rPr>
        <w:t xml:space="preserve"> have been </w:t>
      </w:r>
      <w:r w:rsidR="005F529B" w:rsidRPr="00EC5244">
        <w:rPr>
          <w:lang w:val="en-CA"/>
        </w:rPr>
        <w:t xml:space="preserve">borrowed </w:t>
      </w:r>
      <w:r w:rsidR="001A34AB" w:rsidRPr="00EC5244">
        <w:rPr>
          <w:lang w:val="en-CA"/>
        </w:rPr>
        <w:t xml:space="preserve">extensively </w:t>
      </w:r>
      <w:r w:rsidR="005F529B" w:rsidRPr="00EC5244">
        <w:rPr>
          <w:lang w:val="en-CA"/>
        </w:rPr>
        <w:t>fr</w:t>
      </w:r>
      <w:r w:rsidR="00407833" w:rsidRPr="00EC5244">
        <w:rPr>
          <w:lang w:val="en-CA"/>
        </w:rPr>
        <w:t>om wide-ran</w:t>
      </w:r>
      <w:r w:rsidRPr="00EC5244">
        <w:rPr>
          <w:lang w:val="en-CA"/>
        </w:rPr>
        <w:t>ging sub-disciplines</w:t>
      </w:r>
      <w:r w:rsidR="001A34AB" w:rsidRPr="00EC5244">
        <w:rPr>
          <w:lang w:val="en-CA"/>
        </w:rPr>
        <w:t>,</w:t>
      </w:r>
      <w:r w:rsidRPr="00EC5244">
        <w:rPr>
          <w:lang w:val="en-CA"/>
        </w:rPr>
        <w:t xml:space="preserve"> such as c</w:t>
      </w:r>
      <w:r w:rsidR="00C57809" w:rsidRPr="00EC5244">
        <w:rPr>
          <w:lang w:val="en-CA"/>
        </w:rPr>
        <w:t>olloid</w:t>
      </w:r>
      <w:r w:rsidR="00355F8C" w:rsidRPr="00EC5244">
        <w:rPr>
          <w:lang w:val="en-CA"/>
        </w:rPr>
        <w:t xml:space="preserve"> and surfactant theories, </w:t>
      </w:r>
      <w:r w:rsidR="00037B47" w:rsidRPr="00EC5244">
        <w:rPr>
          <w:lang w:val="en-CA"/>
        </w:rPr>
        <w:t xml:space="preserve">the </w:t>
      </w:r>
      <w:r w:rsidR="00355F8C" w:rsidRPr="00EC5244">
        <w:rPr>
          <w:lang w:val="en-CA"/>
        </w:rPr>
        <w:t xml:space="preserve">clathrate hypothesis of the </w:t>
      </w:r>
      <w:r w:rsidR="00407833" w:rsidRPr="00EC5244">
        <w:rPr>
          <w:lang w:val="en-CA"/>
        </w:rPr>
        <w:t>hydrophobic effect</w:t>
      </w:r>
      <w:r w:rsidRPr="00EC5244">
        <w:rPr>
          <w:lang w:val="en-CA"/>
        </w:rPr>
        <w:t>,</w:t>
      </w:r>
      <w:r w:rsidR="00A07779" w:rsidRPr="00EC5244">
        <w:rPr>
          <w:lang w:val="en-CA"/>
        </w:rPr>
        <w:fldChar w:fldCharType="begin" w:fldLock="1"/>
      </w:r>
      <w:r w:rsidR="00BA127F" w:rsidRPr="00EC5244">
        <w:rPr>
          <w:lang w:val="en-CA"/>
        </w:rPr>
        <w:instrText>ADDIN CSL_CITATION { "citationItems" : [ { "id" : "ITEM-1", "itemData" : { "DOI" : "10.1063/1.1723985", "ISSN" : "0021-9606", "abstract" : "The ideas of the first and second papers in this series, which make it possible to interpret entropy data in terms of a physical picture, are applied to binary solutions, and equations are derived relating energy and volume changes when a solution is formed to the entropy change for the process. These equations are tested against data obtained by various authors on mixtures of normal liquids, and on solutions of non\u2010polar gases in normal solvents. Good general agreement is found, and it is concluded that in such solutions the physical picture of molecules moving in a ``normal'' manner in each others' force fields is adequate. As would be expected, permanent gases, when dissolved in normal liquids, loosen the forces on neighboring solvent molecules producing a solvent reaction which increases the partial molal entropy of the solute. Entropies of vaporization from aqueous solutions diverge strikingly from the normal behavior established for non\u2010aqueous solutions. The nature of the deviations found for non\u2010p...", "author" : [ { "dropping-particle" : "", "family" : "Frank", "given" : "Henry S.", "non-dropping-particle" : "", "parse-names" : false, "suffix" : "" }, { "dropping-particle" : "", "family" : "Evans", "given" : "Marjorie W.", "non-dropping-particle" : "", "parse-names" : false, "suffix" : "" } ], "container-title" : "The Journal of Chemical Physics", "id" : "ITEM-1", "issue" : "11", "issued" : { "date-parts" : [ [ "1945", "11" ] ] }, "page" : "507-532", "publisher" : "American Institute of Physics", "title" : "Free Volume and Entropy in Condensed Systems III. Entropy in Binary Liquid Mixtures; Partial Molal Entropy in Dilute Solutions; Structure and Thermodynamics in Aqueous Electrolytes", "type" : "article-journal", "volume" : "13" }, "uris" : [ "http://www.mendeley.com/documents/?uuid=f0ec63f4-48d1-3e5a-9a35-53e455a2adc4" ] }, { "id" : "ITEM-2", "itemData" : { "ISSN" : "0065-3233", "PMID" : "14404936", "author" : [ { "dropping-particle" : "", "family" : "Kauzmann", "given" : "W", "non-dropping-particle" : "", "parse-names" : false, "suffix" : "" } ], "container-title" : "Advances in protein chemistry", "id" : "ITEM-2", "issued" : { "date-parts" : [ [ "1959" ] ] }, "page" : "1-63", "title" : "Some factors in the interpretation of protein denaturation.", "type" : "article-journal", "volume" : "14" }, "uris" : [ "http://www.mendeley.com/documents/?uuid=7995fc33-e82f-3326-a0cf-88ece8e620ee" ] } ], "mendeley" : { "formattedCitation" : "&lt;sup&gt;14,15&lt;/sup&gt;", "plainTextFormattedCitation" : "14,15", "previouslyFormattedCitation" : "&lt;sup&gt;14,15&lt;/sup&gt;" }, "properties" : { "noteIndex" : 0 }, "schema" : "https://github.com/citation-style-language/schema/raw/master/csl-citation.json" }</w:instrText>
      </w:r>
      <w:r w:rsidR="00A07779" w:rsidRPr="00EC5244">
        <w:rPr>
          <w:lang w:val="en-CA"/>
        </w:rPr>
        <w:fldChar w:fldCharType="separate"/>
      </w:r>
      <w:r w:rsidR="00A07779" w:rsidRPr="00EC5244">
        <w:rPr>
          <w:noProof/>
          <w:vertAlign w:val="superscript"/>
          <w:lang w:val="en-CA"/>
        </w:rPr>
        <w:t>14,15</w:t>
      </w:r>
      <w:r w:rsidR="00A07779" w:rsidRPr="00EC5244">
        <w:rPr>
          <w:lang w:val="en-CA"/>
        </w:rPr>
        <w:fldChar w:fldCharType="end"/>
      </w:r>
      <w:r w:rsidRPr="00EC5244">
        <w:rPr>
          <w:lang w:val="en-CA"/>
        </w:rPr>
        <w:t xml:space="preserve"> and</w:t>
      </w:r>
      <w:r w:rsidR="00407833" w:rsidRPr="00EC5244">
        <w:rPr>
          <w:lang w:val="en-CA"/>
        </w:rPr>
        <w:t xml:space="preserve"> </w:t>
      </w:r>
      <w:r w:rsidR="00355F8C" w:rsidRPr="00EC5244">
        <w:rPr>
          <w:lang w:val="en-CA"/>
        </w:rPr>
        <w:t>chaotropy and kosmotropy.</w:t>
      </w:r>
      <w:r w:rsidR="00A07779" w:rsidRPr="00EC5244">
        <w:rPr>
          <w:lang w:val="en-CA"/>
        </w:rPr>
        <w:fldChar w:fldCharType="begin" w:fldLock="1"/>
      </w:r>
      <w:r w:rsidR="00A07779" w:rsidRPr="00EC5244">
        <w:rPr>
          <w:lang w:val="en-CA"/>
        </w:rPr>
        <w:instrText>ADDIN CSL_CITATION { "citationItems" : [ { "id" : "ITEM-1", "itemData" : { "author" : [ { "dropping-particle" : "", "family" : "Gurney", "given" : "R W", "non-dropping-particle" : "", "parse-names" : false, "suffix" : "" } ], "editor" : [ { "dropping-particle" : "", "family" : "McGraw-Hill", "given" : "", "non-dropping-particle" : "", "parse-names" : false, "suffix" : "" } ], "id" : "ITEM-1", "issued" : { "date-parts" : [ [ "1953" ] ] }, "publisher-place" : "New York", "title" : "Ionic processes in solution", "type" : "book" }, "uris" : [ "http://www.mendeley.com/documents/?uuid=2b1f93ac-921a-31fc-8e14-282154ff37df" ] }, { "id" : "ITEM-2", "itemData" : { "ISBN" : "0486422259", "abstract" : "2d ed., rev.", "author" : [ { "dropping-particle" : "", "family" : "Robinson", "given" : "R. A.", "non-dropping-particle" : "", "parse-names" : false, "suffix" : "" }, { "dropping-particle" : "", "family" : "Stokes", "given" : "R. H.", "non-dropping-particle" : "", "parse-names" : false, "suffix" : "" } ], "id" : "ITEM-2", "issued" : { "date-parts" : [ [ "1955" ] ] }, "number-of-pages" : "571", "publisher" : "Butterworths", "publisher-place" : "London", "title" : "Electrolyte solutions", "type" : "book" }, "uris" : [ "http://www.mendeley.com/documents/?uuid=6de1bba3-05bc-380d-913b-487dece17822" ] }, { "id" : "ITEM-3", "itemData" : { "DOI" : "10.1039/df9572400133", "ISSN" : "0366-9033", "abstract" : "No abstract available", "author" : [ { "dropping-particle" : "", "family" : "Frank", "given" : "Henry S.", "non-dropping-particle" : "", "parse-names" : false, "suffix" : "" }, { "dropping-particle" : "", "family" : "Wen", "given" : "Wen-Yang", "non-dropping-particle" : "", "parse-names" : false, "suffix" : "" } ], "container-title" : "Discussions of the Faraday Society", "id" : "ITEM-3", "issue" : "0", "issued" : { "date-parts" : [ [ "1957" ] ] }, "page" : "133", "publisher" : "The Royal Society of Chemistry", "title" : "Ion-solvent interaction. Structural aspects of ion-solvent interaction in aqueous solutions: a suggested picture of water structure", "type" : "article-journal", "volume" : "24" }, "uris" : [ "http://www.mendeley.com/documents/?uuid=b9c34a22-a925-3771-a4a4-eeb63754692f" ] }, { "id" : "ITEM-4", "itemData" : { "DOI" : "10.1039/df9572400141", "ISSN" : "0366-9033", "abstract" : "No abstract available", "author" : [ { "dropping-particle" : "", "family" : "Samoilov", "given" : "O. Ya.", "non-dropping-particle" : "", "parse-names" : false, "suffix" : "" } ], "container-title" : "Discussions of the Faraday Society", "id" : "ITEM-4", "issue" : "0", "issued" : { "date-parts" : [ [ "1957" ] ] }, "page" : "141", "publisher" : "The Royal Society of Chemistry", "title" : "A new approach to the study of hydration of ions in aqueous solutions", "type" : "article-journal", "volume" : "24" }, "uris" : [ "http://www.mendeley.com/documents/?uuid=77f0dfff-2129-3015-bbe4-601ca4a26402" ] }, { "id" : "ITEM-5", "itemData" : { "DOI" : "10.1063/1.1668057", "ISSN" : "0021-9606", "author" : [ { "dropping-particle" : "", "family" : "Frank", "given" : "Henry S.", "non-dropping-particle" : "", "parse-names" : false, "suffix" : "" }, { "dropping-particle" : "", "family" : "Franks", "given" : "Felix", "non-dropping-particle" : "", "parse-names" : false, "suffix" : "" } ], "container-title" : "The Journal of Chemical Physics", "id" : "ITEM-5", "issue" : "10", "issued" : { "date-parts" : [ [ "1968", "5", "15" ] ] }, "page" : "4746-4757", "title" : "Structural Approach to the Solvent Power of Water for Hydrocarbons; Urea as a Structure Breaker", "type" : "article-journal", "volume" : "48" }, "uris" : [ "http://www.mendeley.com/documents/?uuid=001867ae-3506-3824-9947-182c0e0846e2" ] } ], "mendeley" : { "formattedCitation" : "&lt;sup&gt;16\u201320&lt;/sup&gt;", "plainTextFormattedCitation" : "16\u201320", "previouslyFormattedCitation" : "&lt;sup&gt;16\u201320&lt;/sup&gt;" }, "properties" : { "noteIndex" : 0 }, "schema" : "https://github.com/citation-style-language/schema/raw/master/csl-citation.json" }</w:instrText>
      </w:r>
      <w:r w:rsidR="00A07779" w:rsidRPr="00EC5244">
        <w:rPr>
          <w:lang w:val="en-CA"/>
        </w:rPr>
        <w:fldChar w:fldCharType="separate"/>
      </w:r>
      <w:r w:rsidR="00A07779" w:rsidRPr="00EC5244">
        <w:rPr>
          <w:noProof/>
          <w:vertAlign w:val="superscript"/>
          <w:lang w:val="en-CA"/>
        </w:rPr>
        <w:t>16–20</w:t>
      </w:r>
      <w:r w:rsidR="00A07779" w:rsidRPr="00EC5244">
        <w:rPr>
          <w:lang w:val="en-CA"/>
        </w:rPr>
        <w:fldChar w:fldCharType="end"/>
      </w:r>
      <w:r w:rsidR="00355F8C" w:rsidRPr="00EC5244">
        <w:rPr>
          <w:lang w:val="en-CA"/>
        </w:rPr>
        <w:t xml:space="preserve"> All these hypotheses, however, were qua</w:t>
      </w:r>
      <w:r w:rsidR="006F0466" w:rsidRPr="00EC5244">
        <w:rPr>
          <w:lang w:val="en-CA"/>
        </w:rPr>
        <w:t>litative</w:t>
      </w:r>
      <w:r w:rsidR="00407833" w:rsidRPr="00EC5244">
        <w:rPr>
          <w:lang w:val="en-CA"/>
        </w:rPr>
        <w:t>,</w:t>
      </w:r>
      <w:r w:rsidR="006F0466" w:rsidRPr="00EC5244">
        <w:rPr>
          <w:lang w:val="en-CA"/>
        </w:rPr>
        <w:t xml:space="preserve"> without </w:t>
      </w:r>
      <w:r w:rsidR="00355F8C" w:rsidRPr="00EC5244">
        <w:rPr>
          <w:lang w:val="en-CA"/>
        </w:rPr>
        <w:t xml:space="preserve">any </w:t>
      </w:r>
      <w:r w:rsidR="00407833" w:rsidRPr="00EC5244">
        <w:rPr>
          <w:lang w:val="en-CA"/>
        </w:rPr>
        <w:t xml:space="preserve">recourse to </w:t>
      </w:r>
      <w:r w:rsidR="00355F8C" w:rsidRPr="00EC5244">
        <w:rPr>
          <w:lang w:val="en-CA"/>
        </w:rPr>
        <w:t xml:space="preserve">quantitative measures </w:t>
      </w:r>
      <w:r w:rsidR="006F0466" w:rsidRPr="00EC5244">
        <w:rPr>
          <w:lang w:val="en-CA"/>
        </w:rPr>
        <w:t>or “numerical reckoning”, indispensable for “true understanding”.</w:t>
      </w:r>
      <w:r w:rsidR="004D1EB5" w:rsidRPr="00EC5244">
        <w:rPr>
          <w:lang w:val="en-CA"/>
        </w:rPr>
        <w:fldChar w:fldCharType="begin" w:fldLock="1"/>
      </w:r>
      <w:r w:rsidR="00A07779" w:rsidRPr="00EC5244">
        <w:rPr>
          <w:lang w:val="en-CA"/>
        </w:rPr>
        <w:instrText>ADDIN CSL_CITATION { "citationItems" : [ { "id" : "ITEM-1", "itemData" : { "author" : [ { "dropping-particle" : "", "family" : "Thomson (Lord Kelvin)", "given" : "William", "non-dropping-particle" : "", "parse-names" : false, "suffix" : "" } ], "id" : "ITEM-1", "issued" : { "date-parts" : [ [ "1889" ] ] }, "publisher" : "Macmillan", "publisher-place" : "London", "title" : "Popular lectures and addresses", "type" : "book" }, "uris" : [ "http://www.mendeley.com/documents/?uuid=eb31b150-b574-3b5c-b7a1-b60584d789d6" ] } ], "mendeley" : { "formattedCitation" : "&lt;sup&gt;21&lt;/sup&gt;", "plainTextFormattedCitation" : "21", "previouslyFormattedCitation" : "&lt;sup&gt;21&lt;/sup&gt;" }, "properties" : { "noteIndex" : 0 }, "schema" : "https://github.com/citation-style-language/schema/raw/master/csl-citation.json" }</w:instrText>
      </w:r>
      <w:r w:rsidR="004D1EB5" w:rsidRPr="00EC5244">
        <w:rPr>
          <w:lang w:val="en-CA"/>
        </w:rPr>
        <w:fldChar w:fldCharType="separate"/>
      </w:r>
      <w:r w:rsidR="00A07779" w:rsidRPr="00EC5244">
        <w:rPr>
          <w:noProof/>
          <w:vertAlign w:val="superscript"/>
          <w:lang w:val="en-CA"/>
        </w:rPr>
        <w:t>21</w:t>
      </w:r>
      <w:r w:rsidR="004D1EB5" w:rsidRPr="00EC5244">
        <w:rPr>
          <w:lang w:val="en-CA"/>
        </w:rPr>
        <w:fldChar w:fldCharType="end"/>
      </w:r>
      <w:r w:rsidR="006F0466" w:rsidRPr="00EC5244">
        <w:rPr>
          <w:lang w:val="en-CA"/>
        </w:rPr>
        <w:t xml:space="preserve"> </w:t>
      </w:r>
    </w:p>
    <w:p w14:paraId="7A5B8AD5" w14:textId="77777777" w:rsidR="005A14A3" w:rsidRPr="00EC5244" w:rsidRDefault="005A14A3" w:rsidP="005A14A3">
      <w:pPr>
        <w:pStyle w:val="TAMainText"/>
        <w:rPr>
          <w:lang w:val="en-CA"/>
        </w:rPr>
      </w:pPr>
    </w:p>
    <w:p w14:paraId="636CB902" w14:textId="10F1748D" w:rsidR="001C44D4" w:rsidRPr="00EC5244" w:rsidRDefault="005A14A3" w:rsidP="00C06F57">
      <w:pPr>
        <w:pStyle w:val="TAMainText"/>
        <w:rPr>
          <w:lang w:val="en-CA"/>
        </w:rPr>
      </w:pPr>
      <w:r w:rsidRPr="00EC5244">
        <w:rPr>
          <w:lang w:val="en-CA"/>
        </w:rPr>
        <w:t>Our r</w:t>
      </w:r>
      <w:r w:rsidR="00DA6ABE" w:rsidRPr="00EC5244">
        <w:rPr>
          <w:lang w:val="en-CA"/>
        </w:rPr>
        <w:t xml:space="preserve">ecent </w:t>
      </w:r>
      <w:r w:rsidRPr="00EC5244">
        <w:rPr>
          <w:lang w:val="en-CA"/>
        </w:rPr>
        <w:t xml:space="preserve">approach to hydrotropy, based upon </w:t>
      </w:r>
      <w:r w:rsidR="000943D3" w:rsidRPr="00EC5244">
        <w:rPr>
          <w:lang w:val="en-CA"/>
        </w:rPr>
        <w:t>r</w:t>
      </w:r>
      <w:r w:rsidR="002D3E3C" w:rsidRPr="00EC5244">
        <w:rPr>
          <w:lang w:val="en-CA"/>
        </w:rPr>
        <w:t>igorous stat</w:t>
      </w:r>
      <w:r w:rsidR="000943D3" w:rsidRPr="00EC5244">
        <w:rPr>
          <w:lang w:val="en-CA"/>
        </w:rPr>
        <w:t>istical thermodynam</w:t>
      </w:r>
      <w:r w:rsidRPr="00EC5244">
        <w:rPr>
          <w:lang w:val="en-CA"/>
        </w:rPr>
        <w:t xml:space="preserve">ic principles, have brought </w:t>
      </w:r>
      <w:r w:rsidR="00037B47" w:rsidRPr="00EC5244">
        <w:rPr>
          <w:lang w:val="en-CA"/>
        </w:rPr>
        <w:t xml:space="preserve">a </w:t>
      </w:r>
      <w:r w:rsidRPr="00EC5244">
        <w:rPr>
          <w:lang w:val="en-CA"/>
        </w:rPr>
        <w:t>long-awaited clarity to the mechanistic understanding of hydrotropy.</w:t>
      </w:r>
      <w:r w:rsidR="00264337" w:rsidRPr="00EC5244">
        <w:rPr>
          <w:lang w:val="en-CA"/>
        </w:rPr>
        <w:fldChar w:fldCharType="begin" w:fldLock="1"/>
      </w:r>
      <w:r w:rsidR="004D1EB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"ITEM-5", "issue" : "36", "issued" : { "date-parts" : [ [ "2016" ] ] }, "page" : "25621-25628", "publisher" : "Royal Society of Chemistry", "title" : "The origin of cooperative solubilisation by hydrotropes", "type" : "article-journal", "volume" : "18" }, "uris" : [ "http://www.mendeley.com/documents/?uuid=dcc5121c-094a-4702-bc34-1086a5612e68" ] }, { "id" : "ITEM-6",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"ITEM-6",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"&lt;sup&gt;8\u201313&lt;/sup&gt;", "plainTextFormattedCitation" : "8\u201313", "previouslyFormattedCitation" : "&lt;sup&gt;8\u201313&lt;/sup&gt;" }, "properties" : { "noteIndex" : 0 }, "schema" : "https://github.com/citation-style-language/schema/raw/master/csl-citation.json" }</w:instrText>
      </w:r>
      <w:r w:rsidR="00264337" w:rsidRPr="00EC5244">
        <w:rPr>
          <w:lang w:val="en-CA"/>
        </w:rPr>
        <w:fldChar w:fldCharType="separate"/>
      </w:r>
      <w:r w:rsidR="004D1EB5" w:rsidRPr="00EC5244">
        <w:rPr>
          <w:noProof/>
          <w:vertAlign w:val="superscript"/>
          <w:lang w:val="en-CA"/>
        </w:rPr>
        <w:t>8–13</w:t>
      </w:r>
      <w:r w:rsidR="00264337" w:rsidRPr="00EC5244">
        <w:rPr>
          <w:lang w:val="en-CA"/>
        </w:rPr>
        <w:fldChar w:fldCharType="end"/>
      </w:r>
      <w:r w:rsidRPr="00EC5244">
        <w:rPr>
          <w:lang w:val="en-CA"/>
        </w:rPr>
        <w:t xml:space="preserve"> The Kirkwood-Buff (KB) integrals,</w:t>
      </w:r>
      <w:r w:rsidR="003133E0" w:rsidRPr="00EC5244">
        <w:rPr>
          <w:lang w:val="en-CA"/>
        </w:rPr>
        <w:fldChar w:fldCharType="begin" w:fldLock="1"/>
      </w:r>
      <w:r w:rsidR="00BB4DD1" w:rsidRPr="00EC5244">
        <w:rPr>
          <w:lang w:val="en-CA"/>
        </w:rPr>
        <w:instrText>ADDIN CSL_CITATION { "citationItems" : [ { "id" : "ITEM-1", "itemData" : { "author" : [ { "dropping-particle" : "", "family" : "Kirkwood", "given" : "John G.", "non-dropping-particle" : "", "parse-names" : false, "suffix" : "" }, { "dropping-particle" : "", "family" : "Buff", "given" : "Frank P.", "non-dropping-particle" : "", "parse-names" : false, "suffix" : "" } ], "container-title" : "Journal of Chemical Physics", "id" : "ITEM-1", "issued" : { "date-parts" : [ [ "1951" ] ] }, "page" : "774\u2013777", "title" : "The Kirkwood \u2013 Buff theory of solutions", "type" : "article-journal", "volume" : "19" }, "uris" : [ "http://www.mendeley.com/documents/?uuid=2ce6f74a-52f5-45b5-b347-356521de3594" ] }, { "id" : "ITEM-2", "itemData" : { "DOI" : "10.1039/tf9716702516", "ISSN" : "0014-7672", "abstract" : "An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 "author" : [ { "dropping-particle" : "", "family" : "Hall", "given" : "D. G.", "non-dropping-particle" : "", "parse-names" : false, "suffix" : "" } ], "container-title" : "Transactions of the Faraday Society", "id" : "ITEM-2", "issue" : "0", "issued" : { "date-parts" : [ [ "1971" ] ] }, "page" : "2516-2524", "publisher" : "The Royal Society of Chemistry", "title" : "Kirkwood-Buff theory of solutions. An alternative derivation of part of it and some applications", "type" : "article-journal", "volume" : "67" }, "uris" : [ "http://www.mendeley.com/documents/?uuid=f29dc205-be25-31b1-ab4c-c0d01d88246f" ] }, { "id" : "ITEM-3", "itemData" : { "DOI" : "10.1063/1.434669", "ISSN" : "0021-9606", "abstract" : "A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water\u2013ethanol system is processed in this manner to obtain the quantities G\u03b1\u03b2 which are integrals over the pair correlation functions between two species \u03b1 and \u03b2.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 "author" : [ { "dropping-particle" : "", "family" : "Ben-Naim", "given" : "A.", "non-dropping-particle" : "", "parse-names" : false, "suffix" : "" } ], "container-title" : "The Journal of Chemical Physics", "id" : "ITEM-3", "issue" : "11", "issued" : { "date-parts" : [ [ "1977", "12" ] ] }, "page" : "4884-4890", "publisher" : "American Institute of PhysicsAIP", "title" : "Inversion of the Kirkwood\u2013Buff theory of solutions: Application to the water\u2013ethanol system", "type" : "article-journal", "volume" : "67" }, "uris" : [ "http://www.mendeley.com/documents/?uuid=81e02811-c8ed-3278-8ff2-693fe9432f12" ] } ], "mendeley" : { "formattedCitation" : "&lt;sup&gt;22\u201324&lt;/sup&gt;", "plainTextFormattedCitation" : "22\u201324", "previouslyFormattedCitation" : "&lt;sup&gt;22\u201324&lt;/sup&gt;" }, "properties" : { "noteIndex" : 0 }, "schema" : "https://github.com/citation-style-language/schema/raw/master/csl-citation.json" }</w:instrText>
      </w:r>
      <w:r w:rsidR="003133E0" w:rsidRPr="00EC5244">
        <w:rPr>
          <w:lang w:val="en-CA"/>
        </w:rPr>
        <w:fldChar w:fldCharType="separate"/>
      </w:r>
      <w:r w:rsidR="00A07779" w:rsidRPr="00EC5244">
        <w:rPr>
          <w:noProof/>
          <w:vertAlign w:val="superscript"/>
          <w:lang w:val="en-CA"/>
        </w:rPr>
        <w:t>22–24</w:t>
      </w:r>
      <w:r w:rsidR="003133E0" w:rsidRPr="00EC5244">
        <w:rPr>
          <w:lang w:val="en-CA"/>
        </w:rPr>
        <w:fldChar w:fldCharType="end"/>
      </w:r>
      <w:r w:rsidRPr="00EC5244">
        <w:rPr>
          <w:lang w:val="en-CA"/>
        </w:rPr>
        <w:t xml:space="preserve"> the net excess of the radial distribution function from the bulk, quantifies the </w:t>
      </w:r>
      <w:r w:rsidR="00C06F57" w:rsidRPr="00EC5244">
        <w:rPr>
          <w:lang w:val="en-CA"/>
        </w:rPr>
        <w:t xml:space="preserve">solvent-mediated </w:t>
      </w:r>
      <w:r w:rsidRPr="00EC5244">
        <w:rPr>
          <w:lang w:val="en-CA"/>
        </w:rPr>
        <w:t>interaction</w:t>
      </w:r>
      <w:r w:rsidR="00C06F57" w:rsidRPr="00EC5244">
        <w:rPr>
          <w:lang w:val="en-CA"/>
        </w:rPr>
        <w:t>s</w:t>
      </w:r>
      <w:r w:rsidRPr="00EC5244">
        <w:rPr>
          <w:lang w:val="en-CA"/>
        </w:rPr>
        <w:t xml:space="preserve"> </w:t>
      </w:r>
      <w:r w:rsidR="00F6185C" w:rsidRPr="00EC5244">
        <w:rPr>
          <w:lang w:val="en-CA"/>
        </w:rPr>
        <w:t xml:space="preserve">(potential of mean force) </w:t>
      </w:r>
      <w:r w:rsidRPr="00EC5244">
        <w:rPr>
          <w:lang w:val="en-CA"/>
        </w:rPr>
        <w:t xml:space="preserve">between the </w:t>
      </w:r>
      <w:r w:rsidR="00C06F57" w:rsidRPr="00EC5244">
        <w:rPr>
          <w:lang w:val="en-CA"/>
        </w:rPr>
        <w:t xml:space="preserve">molecular </w:t>
      </w:r>
      <w:r w:rsidRPr="00EC5244">
        <w:rPr>
          <w:lang w:val="en-CA"/>
        </w:rPr>
        <w:t>species</w:t>
      </w:r>
      <w:r w:rsidR="00C06F57" w:rsidRPr="00EC5244">
        <w:rPr>
          <w:lang w:val="en-CA"/>
        </w:rPr>
        <w:t>.</w:t>
      </w:r>
      <w:r w:rsidR="00264337" w:rsidRPr="00EC5244">
        <w:rPr>
          <w:lang w:val="en-CA"/>
        </w:rPr>
        <w:fldChar w:fldCharType="begin" w:fldLock="1"/>
      </w:r>
      <w:r w:rsidR="00A07779" w:rsidRPr="00EC5244">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"ITEM-4",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"&lt;sup&gt;25\u201328&lt;/sup&gt;", "plainTextFormattedCitation" : "25\u201328", "previouslyFormattedCitation" : "&lt;sup&gt;25\u201328&lt;/sup&gt;" }, "properties" : { "noteIndex" : 0 }, "schema" : "https://github.com/citation-style-language/schema/raw/master/csl-citation.json" }</w:instrText>
      </w:r>
      <w:r w:rsidR="00264337" w:rsidRPr="00EC5244">
        <w:rPr>
          <w:lang w:val="en-CA"/>
        </w:rPr>
        <w:fldChar w:fldCharType="separate"/>
      </w:r>
      <w:r w:rsidR="00A07779" w:rsidRPr="00EC5244">
        <w:rPr>
          <w:noProof/>
          <w:vertAlign w:val="superscript"/>
          <w:lang w:val="en-CA"/>
        </w:rPr>
        <w:t>25–28</w:t>
      </w:r>
      <w:r w:rsidR="00264337" w:rsidRPr="00EC5244">
        <w:rPr>
          <w:lang w:val="en-CA"/>
        </w:rPr>
        <w:fldChar w:fldCharType="end"/>
      </w:r>
      <w:r w:rsidR="00C06F57" w:rsidRPr="00EC5244">
        <w:rPr>
          <w:lang w:val="en-CA"/>
        </w:rPr>
        <w:t xml:space="preserve"> </w:t>
      </w:r>
      <w:r w:rsidRPr="00EC5244">
        <w:rPr>
          <w:lang w:val="en-CA"/>
        </w:rPr>
        <w:t>For small molecule hydrotropes that do not form micelles, we have identified the non-specific solute-hydrotrope interaction as the major driving force of solubilization, modulated by the bulk-phase self-association of hydrotropes as the minor contribution.</w:t>
      </w:r>
      <w:r w:rsidR="00264337" w:rsidRPr="00EC5244">
        <w:rPr>
          <w:lang w:val="en-CA"/>
        </w:rPr>
        <w:fldChar w:fldCharType="begin" w:fldLock="1"/>
      </w:r>
      <w:r w:rsidR="004D1EB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"ITEM-5", "issue" : "36", "issued" : { "date-parts" : [ [ "2016" ] ] }, "page" : "25621-25628", "publisher" : "Royal Society of Chemistry", "title" : "The origin of cooperative solubilisation by hydrotropes", "type" : "article-journal", "volume" : "18" }, "uris" : [ "http://www.mendeley.com/documents/?uuid=dcc5121c-094a-4702-bc34-1086a5612e68" ] }, { "id" : "ITEM-6",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"ITEM-6",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"&lt;sup&gt;8\u201313&lt;/sup&gt;", "plainTextFormattedCitation" : "8\u201313", "previouslyFormattedCitation" : "&lt;sup&gt;8\u201313&lt;/sup&gt;" }, "properties" : { "noteIndex" : 0 }, "schema" : "https://github.com/citation-style-language/schema/raw/master/csl-citation.json" }</w:instrText>
      </w:r>
      <w:r w:rsidR="00264337" w:rsidRPr="00EC5244">
        <w:rPr>
          <w:lang w:val="en-CA"/>
        </w:rPr>
        <w:fldChar w:fldCharType="separate"/>
      </w:r>
      <w:r w:rsidR="004D1EB5" w:rsidRPr="00EC5244">
        <w:rPr>
          <w:noProof/>
          <w:vertAlign w:val="superscript"/>
          <w:lang w:val="en-CA"/>
        </w:rPr>
        <w:t>8–13</w:t>
      </w:r>
      <w:r w:rsidR="00264337" w:rsidRPr="00EC5244">
        <w:rPr>
          <w:lang w:val="en-CA"/>
        </w:rPr>
        <w:fldChar w:fldCharType="end"/>
      </w:r>
      <w:r w:rsidR="00264337" w:rsidRPr="00EC5244">
        <w:rPr>
          <w:lang w:val="en-CA"/>
        </w:rPr>
        <w:t xml:space="preserve"> </w:t>
      </w:r>
      <w:r w:rsidRPr="00EC5244">
        <w:rPr>
          <w:lang w:val="en-CA"/>
        </w:rPr>
        <w:t>The sudden, cooperative onset of solubilization above the minimum hydrotrope concentration (MHC) has been attributed to the solute-induced enhancement of hydrotrope self-association.</w:t>
      </w:r>
      <w:r w:rsidR="00264337" w:rsidRPr="00EC5244">
        <w:rPr>
          <w:lang w:val="en-CA"/>
        </w:rPr>
        <w:fldChar w:fldCharType="begin" w:fldLock="1"/>
      </w:r>
      <w:r w:rsidR="00A07779"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"id" : "ITEM-2",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"ITEM-2", "issue" : "36", "issued" : { "date-parts" : [ [ "2016" ] ] }, "page" : "25621-25628", "publisher" : "Royal Society of Chemistry", "title" : "The origin of cooperative solubilisation by hydrotropes", "type" : "article-journal", "volume" : "18" }, "uris" : [ "http://www.mendeley.com/documents/?uuid=dcc5121c-094a-4702-bc34-1086a5612e68" ] }, { "id" : "ITEM-3",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"ITEM-3",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"mendeley" : { "formattedCitation" : "&lt;sup&gt;10,12,29&lt;/sup&gt;", "plainTextFormattedCitation" : "10,12,29", "previouslyFormattedCitation" : "&lt;sup&gt;10,12,29&lt;/sup&gt;" }, "properties" : { "noteIndex" : 0 }, "schema" : "https://github.com/citation-style-language/schema/raw/master/csl-citation.json" }</w:instrText>
      </w:r>
      <w:r w:rsidR="00264337" w:rsidRPr="00EC5244">
        <w:rPr>
          <w:lang w:val="en-CA"/>
        </w:rPr>
        <w:fldChar w:fldCharType="separate"/>
      </w:r>
      <w:r w:rsidR="00A07779" w:rsidRPr="00EC5244">
        <w:rPr>
          <w:noProof/>
          <w:vertAlign w:val="superscript"/>
          <w:lang w:val="en-CA"/>
        </w:rPr>
        <w:t>10,12,29</w:t>
      </w:r>
      <w:r w:rsidR="00264337" w:rsidRPr="00EC5244">
        <w:rPr>
          <w:lang w:val="en-CA"/>
        </w:rPr>
        <w:fldChar w:fldCharType="end"/>
      </w:r>
      <w:r w:rsidRPr="00EC5244">
        <w:rPr>
          <w:lang w:val="en-CA"/>
        </w:rPr>
        <w:t xml:space="preserve"> In addition, the origin of micellar hydrotropy has been attributed</w:t>
      </w:r>
      <w:r w:rsidR="00C06F57" w:rsidRPr="00EC5244">
        <w:rPr>
          <w:lang w:val="en-CA"/>
        </w:rPr>
        <w:t xml:space="preserve"> to be a large</w:t>
      </w:r>
      <w:r w:rsidRPr="00EC5244">
        <w:rPr>
          <w:lang w:val="en-CA"/>
        </w:rPr>
        <w:t xml:space="preserve"> solute-micelle </w:t>
      </w:r>
      <w:r w:rsidR="00C06F57" w:rsidRPr="00EC5244">
        <w:rPr>
          <w:lang w:val="en-CA"/>
        </w:rPr>
        <w:t>KB integrals as a major driving force which far more than compensates the minor contribution due to bulk-phase hydrotrope self-association.</w:t>
      </w:r>
      <w:r w:rsidR="0039109D" w:rsidRPr="00EC5244">
        <w:rPr>
          <w:lang w:val="en-CA"/>
        </w:rPr>
        <w:fldChar w:fldCharType="begin" w:fldLock="1"/>
      </w:r>
      <w:r w:rsidR="0039109D" w:rsidRPr="00EC5244">
        <w:rPr>
          <w:lang w:val="en-CA"/>
        </w:rPr>
        <w:instrText>ADDIN CSL_CITATION { "citationItems" : [ { "id" : "ITEM-1", "itemData" : { "DOI" : "10.1063/1.2186324", "ISSN" : "0021-9606", "author" : [ { "dropping-particle" : "", "family" : "Matubayasi", "given" : "Nobuyuki", "non-dropping-particle" : "", "parse-names" : false, "suffix" : "" }, { "dropping-particle" : "", "family" : "Liang", "given" : "Kuo Kan", "non-dropping-particle" : "", "parse-names" : false, "suffix" : "" }, { "dropping-particle" : "", "family" : "Nakahara", "given" : "Masaru", "non-dropping-particle" : "", "parse-names" : false, "suffix" : "" } ], "container-title" : "The Journal of Chemical Physics", "id" : "ITEM-1", "issue" : "15", "issued" : { "date-parts" : [ [ "2006", "4", "21" ] ] }, "page" : "154908", "title" : "Free-energy analysis of solubilization in micelle", "type" : "article-journal", "volume" : "124" }, "uris" : [ "http://www.mendeley.com/documents/?uuid=d1f0e9c1-c8cc-3891-ab25-bfeb8a83a8f0" ] }, { "id" : "ITEM-2",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"&lt;sup&gt;10,30&lt;/sup&gt;", "plainTextFormattedCitation" : "10,30", "previouslyFormattedCitation" : "&lt;sup&gt;10,30&lt;/sup&gt;" }, "properties" : { "noteIndex" : 0 }, "schema" : "https://github.com/citation-style-language/schema/raw/master/csl-citation.json" }</w:instrText>
      </w:r>
      <w:r w:rsidR="0039109D" w:rsidRPr="00EC5244">
        <w:rPr>
          <w:lang w:val="en-CA"/>
        </w:rPr>
        <w:fldChar w:fldCharType="separate"/>
      </w:r>
      <w:r w:rsidR="0039109D" w:rsidRPr="00EC5244">
        <w:rPr>
          <w:noProof/>
          <w:vertAlign w:val="superscript"/>
          <w:lang w:val="en-CA"/>
        </w:rPr>
        <w:t>10,30</w:t>
      </w:r>
      <w:r w:rsidR="0039109D" w:rsidRPr="00EC5244">
        <w:rPr>
          <w:lang w:val="en-CA"/>
        </w:rPr>
        <w:fldChar w:fldCharType="end"/>
      </w:r>
      <w:r w:rsidR="00C06F57" w:rsidRPr="00EC5244">
        <w:rPr>
          <w:lang w:val="en-CA"/>
        </w:rPr>
        <w:t xml:space="preserve"> </w:t>
      </w:r>
    </w:p>
    <w:p w14:paraId="50440A80" w14:textId="4174B87F" w:rsidR="00DE6679" w:rsidRPr="00EC5244" w:rsidRDefault="00DE6679" w:rsidP="00C06F57">
      <w:pPr>
        <w:pStyle w:val="TAMainText"/>
        <w:rPr>
          <w:lang w:val="en-CA"/>
        </w:rPr>
      </w:pPr>
    </w:p>
    <w:p w14:paraId="28196C2E" w14:textId="5E8337D9" w:rsidR="00DE6679" w:rsidRPr="00EC5244" w:rsidRDefault="00A16D86" w:rsidP="007D0E6F">
      <w:pPr>
        <w:pStyle w:val="TAMainText"/>
        <w:rPr>
          <w:color w:val="FF0000"/>
          <w:lang w:val="en-CA"/>
        </w:rPr>
      </w:pPr>
      <w:r w:rsidRPr="00EC5244">
        <w:rPr>
          <w:lang w:val="en-CA"/>
        </w:rPr>
        <w:t xml:space="preserve">Establishing </w:t>
      </w:r>
      <w:r w:rsidR="007D0E6F" w:rsidRPr="00EC5244">
        <w:rPr>
          <w:lang w:val="en-CA"/>
        </w:rPr>
        <w:t>a unified theory of hydrotropy is still a challenging task, due to the diversity of hydrotropes admitted under the same definition, which spans over weakly-amphiphilic molecules, micelles and micro-emulsions.</w:t>
      </w:r>
      <w:r w:rsidR="00264337" w:rsidRPr="00EC5244">
        <w:rPr>
          <w:lang w:val="en-CA"/>
        </w:rPr>
        <w:fldChar w:fldCharType="begin" w:fldLock="1"/>
      </w:r>
      <w:r w:rsidR="004D1EB5" w:rsidRPr="00EC5244">
        <w:rPr>
          <w:lang w:val="en-CA"/>
        </w:rPr>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"mendeley" : { "formattedCitation" : "&lt;sup&gt;7&lt;/sup&gt;", "plainTextFormattedCitation" : "7", "previouslyFormattedCitation" : "&lt;sup&gt;7&lt;/sup&gt;" }, "properties" : { "noteIndex" : 0 }, "schema" : "https://github.com/citation-style-language/schema/raw/master/csl-citation.json" }</w:instrText>
      </w:r>
      <w:r w:rsidR="00264337" w:rsidRPr="00EC5244">
        <w:rPr>
          <w:lang w:val="en-CA"/>
        </w:rPr>
        <w:fldChar w:fldCharType="separate"/>
      </w:r>
      <w:r w:rsidR="004D1EB5" w:rsidRPr="00EC5244">
        <w:rPr>
          <w:noProof/>
          <w:vertAlign w:val="superscript"/>
          <w:lang w:val="en-CA"/>
        </w:rPr>
        <w:t>7</w:t>
      </w:r>
      <w:r w:rsidR="00264337" w:rsidRPr="00EC5244">
        <w:rPr>
          <w:lang w:val="en-CA"/>
        </w:rPr>
        <w:fldChar w:fldCharType="end"/>
      </w:r>
      <w:r w:rsidR="007D0E6F" w:rsidRPr="00EC5244">
        <w:rPr>
          <w:lang w:val="en-CA"/>
        </w:rPr>
        <w:t xml:space="preserve"> Such diversity in hydrotropic behaviour, however, can be classified rationally using the </w:t>
      </w:r>
      <w:r w:rsidR="00037B47" w:rsidRPr="00EC5244">
        <w:rPr>
          <w:lang w:val="en-CA"/>
        </w:rPr>
        <w:t>Gibbs</w:t>
      </w:r>
      <w:r w:rsidR="007D0E6F" w:rsidRPr="00EC5244">
        <w:rPr>
          <w:lang w:val="en-CA"/>
        </w:rPr>
        <w:t xml:space="preserve"> phase rule, which can identify the degrees of freedom o</w:t>
      </w:r>
      <w:r w:rsidR="00037B47" w:rsidRPr="00EC5244">
        <w:rPr>
          <w:lang w:val="en-CA"/>
        </w:rPr>
        <w:t>f</w:t>
      </w:r>
      <w:r w:rsidR="007D0E6F" w:rsidRPr="00EC5244">
        <w:rPr>
          <w:lang w:val="en-CA"/>
        </w:rPr>
        <w:t xml:space="preserve"> the system</w:t>
      </w:r>
      <w:r w:rsidR="00F431D2" w:rsidRPr="00EC5244">
        <w:rPr>
          <w:lang w:val="en-CA"/>
        </w:rPr>
        <w:fldChar w:fldCharType="begin" w:fldLock="1"/>
      </w:r>
      <w:r w:rsidR="0039109D" w:rsidRPr="00EC5244">
        <w:rPr>
          <w:lang w:val="en-CA"/>
        </w:rPr>
        <w:instrText>ADDIN CSL_CITATION { "citationItems" : [ { "id" : "ITEM-1", "itemData" : { "author" : [ { "dropping-particle" : "", "family" : "Gibbs", "given" : "J W", "non-dropping-particle" : "", "parse-names" : false, "suffix" : "" } ], "container-title" : "Trans Conn Acad Arts Sci", "id" : "ITEM-1", "issued" : { "date-parts" : [ [ "1875" ] ] }, "page" : "108-248", "title" : "No Title", "type" : "article-journal", "volume" : "3" }, "uris" : [ "http://www.mendeley.com/documents/?uuid=82f0374b-2b72-4121-9441-a941889d9f9c" ] }, { "id" : "ITEM-2", "itemData" : { "author" : [ { "dropping-particle" : "", "family" : "Gibbs", "given" : "J W", "non-dropping-particle" : "", "parse-names" : false, "suffix" : "" } ], "container-title" : "Trans Conn Acad Arts Sci", "id" : "ITEM-2", "issued" : { "date-parts" : [ [ "1877" ] ] }, "page" : "343-524", "title" : "No Title", "type" : "article-journal", "volume" : "3" }, "uris" : [ "http://www.mendeley.com/documents/?uuid=f3d83b24-0bf3-4b3e-b5f4-fdf864a25634" ] } ], "mendeley" : { "formattedCitation" : "&lt;sup&gt;31,32&lt;/sup&gt;", "plainTextFormattedCitation" : "31,32", "previouslyFormattedCitation" : "&lt;sup&gt;31,32&lt;/sup&gt;" }, "properties" : { "noteIndex" : 0 }, "schema" : "https://github.com/citation-style-language/schema/raw/master/csl-citation.json" }</w:instrText>
      </w:r>
      <w:r w:rsidR="00F431D2" w:rsidRPr="00EC5244">
        <w:rPr>
          <w:lang w:val="en-CA"/>
        </w:rPr>
        <w:fldChar w:fldCharType="separate"/>
      </w:r>
      <w:r w:rsidR="0039109D" w:rsidRPr="00EC5244">
        <w:rPr>
          <w:noProof/>
          <w:vertAlign w:val="superscript"/>
          <w:lang w:val="en-CA"/>
        </w:rPr>
        <w:t>31,32</w:t>
      </w:r>
      <w:r w:rsidR="00F431D2" w:rsidRPr="00EC5244">
        <w:rPr>
          <w:lang w:val="en-CA"/>
        </w:rPr>
        <w:fldChar w:fldCharType="end"/>
      </w:r>
      <w:r w:rsidR="007D0E6F" w:rsidRPr="00EC5244">
        <w:rPr>
          <w:lang w:val="en-CA"/>
        </w:rPr>
        <w:t xml:space="preserve"> and can clarify how many KB integrals, that</w:t>
      </w:r>
      <w:r w:rsidR="00C36BDA" w:rsidRPr="00EC5244">
        <w:rPr>
          <w:lang w:val="en-CA"/>
        </w:rPr>
        <w:t xml:space="preserve"> represent the potential of mean force as integrals over the whole space</w:t>
      </w:r>
      <w:r w:rsidR="007D0E6F" w:rsidRPr="00EC5244">
        <w:rPr>
          <w:lang w:val="en-CA"/>
        </w:rPr>
        <w:t>, can be determinable in principle.</w:t>
      </w:r>
      <w:r w:rsidR="00F431D2" w:rsidRPr="00EC5244">
        <w:rPr>
          <w:lang w:val="en-CA"/>
        </w:rPr>
        <w:fldChar w:fldCharType="begin" w:fldLock="1"/>
      </w:r>
      <w:r w:rsidR="00BB4DD1"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"id" : "ITEM-2", "itemData" : { "DOI" : "10.1016/j.bpc.2017.02.003", "ISSN" : "03014622", "author" : [ { "dropping-particle" : "", "family" : "Shimizu", "given" : "Seishi", "non-dropping-particle" : "", "parse-names" : false, "suffix" : "" }, { "dropping-particle" : "", "family" : "Matubayasi", "given" : "Nobuyuki", "non-dropping-particle" : "", "parse-names" : false, "suffix" : "" } ], "container-title" : "Biophysical Chemistry", "id" : "ITEM-2", "issued" : { "date-parts" : [ [ "2017" ] ] }, "page" : "DOI: 10.1016/j.bpc.2017.02.003", "publisher" : "Elsevier B.V.", "title" : "Osmolyte depletion viewed in terms of the dividing membrane and its work of expansion against osmotic pressure", "type" : "article-journal" }, "uris" : [ "http://www.mendeley.com/documents/?uuid=b0be0468-93f2-4f18-8f9a-a660a03d9df3" ] } ], "mendeley" : { "formattedCitation" : "&lt;sup&gt;27,33&lt;/sup&gt;", "plainTextFormattedCitation" : "27,33", "previouslyFormattedCitation" : "&lt;sup&gt;27,33&lt;/sup&gt;" }, "properties" : { "noteIndex" : 0 }, "schema" : "https://github.com/citation-style-language/schema/raw/master/csl-citation.json" }</w:instrText>
      </w:r>
      <w:r w:rsidR="00F431D2" w:rsidRPr="00EC5244">
        <w:rPr>
          <w:lang w:val="en-CA"/>
        </w:rPr>
        <w:fldChar w:fldCharType="separate"/>
      </w:r>
      <w:r w:rsidR="0039109D" w:rsidRPr="00EC5244">
        <w:rPr>
          <w:noProof/>
          <w:vertAlign w:val="superscript"/>
          <w:lang w:val="en-CA"/>
        </w:rPr>
        <w:t>27,33</w:t>
      </w:r>
      <w:r w:rsidR="00F431D2" w:rsidRPr="00EC5244">
        <w:rPr>
          <w:lang w:val="en-CA"/>
        </w:rPr>
        <w:fldChar w:fldCharType="end"/>
      </w:r>
      <w:r w:rsidR="007D0E6F" w:rsidRPr="00EC5244">
        <w:rPr>
          <w:lang w:val="en-CA"/>
        </w:rPr>
        <w:t xml:space="preserve"> Thus</w:t>
      </w:r>
      <w:r w:rsidR="001A34AB" w:rsidRPr="00EC5244">
        <w:rPr>
          <w:lang w:val="en-CA"/>
        </w:rPr>
        <w:t>,</w:t>
      </w:r>
      <w:r w:rsidR="00DE6679" w:rsidRPr="00EC5244">
        <w:rPr>
          <w:lang w:val="en-CA"/>
        </w:rPr>
        <w:t xml:space="preserve"> </w:t>
      </w:r>
      <w:r w:rsidR="001A34AB" w:rsidRPr="00EC5244">
        <w:rPr>
          <w:lang w:val="en-CA"/>
        </w:rPr>
        <w:t xml:space="preserve">the </w:t>
      </w:r>
      <w:r w:rsidR="00DE6679" w:rsidRPr="00EC5244">
        <w:rPr>
          <w:lang w:val="en-CA"/>
        </w:rPr>
        <w:t>aims of the present Perspec</w:t>
      </w:r>
      <w:r w:rsidR="007D0E6F" w:rsidRPr="00EC5244">
        <w:rPr>
          <w:lang w:val="en-CA"/>
        </w:rPr>
        <w:t>t</w:t>
      </w:r>
      <w:r w:rsidR="00DE6679" w:rsidRPr="00EC5244">
        <w:rPr>
          <w:lang w:val="en-CA"/>
        </w:rPr>
        <w:t xml:space="preserve">ive article are:  </w:t>
      </w:r>
    </w:p>
    <w:p w14:paraId="4C886E20" w14:textId="14E9A3FE" w:rsidR="00DE6679" w:rsidRPr="00EC5244" w:rsidRDefault="00DE6679" w:rsidP="00BF48EE">
      <w:pPr>
        <w:pStyle w:val="TAMainText"/>
        <w:numPr>
          <w:ilvl w:val="0"/>
          <w:numId w:val="3"/>
        </w:numPr>
        <w:rPr>
          <w:lang w:val="en-CA"/>
        </w:rPr>
      </w:pPr>
      <w:r w:rsidRPr="00EC5244">
        <w:rPr>
          <w:lang w:val="en-CA"/>
        </w:rPr>
        <w:t xml:space="preserve">To present a unified, coherent description of the new understanding of hydrotropy based upon rigorous statistical thermodynamic principles. </w:t>
      </w:r>
    </w:p>
    <w:p w14:paraId="22DC3732" w14:textId="7AB24EEC" w:rsidR="007D0E6F" w:rsidRPr="00EC5244" w:rsidRDefault="007D0E6F" w:rsidP="007D0E6F">
      <w:pPr>
        <w:pStyle w:val="TAMainText"/>
        <w:numPr>
          <w:ilvl w:val="0"/>
          <w:numId w:val="3"/>
        </w:numPr>
        <w:rPr>
          <w:lang w:val="en-CA"/>
        </w:rPr>
      </w:pPr>
      <w:r w:rsidRPr="00EC5244">
        <w:rPr>
          <w:lang w:val="en-CA"/>
        </w:rPr>
        <w:t xml:space="preserve">To clarify the degrees of freedom involved in hydrotropy based on </w:t>
      </w:r>
      <w:r w:rsidR="00037B47" w:rsidRPr="00EC5244">
        <w:rPr>
          <w:lang w:val="en-CA"/>
        </w:rPr>
        <w:t>Gibbs</w:t>
      </w:r>
      <w:r w:rsidRPr="00EC5244">
        <w:rPr>
          <w:lang w:val="en-CA"/>
        </w:rPr>
        <w:t xml:space="preserve"> phase rule. </w:t>
      </w:r>
    </w:p>
    <w:p w14:paraId="184E4CC9" w14:textId="5710171B" w:rsidR="00DE6679" w:rsidRPr="00EC5244" w:rsidRDefault="00DE6679" w:rsidP="00BF48EE">
      <w:pPr>
        <w:pStyle w:val="TAMainText"/>
        <w:numPr>
          <w:ilvl w:val="0"/>
          <w:numId w:val="3"/>
        </w:numPr>
        <w:rPr>
          <w:lang w:val="en-CA"/>
        </w:rPr>
      </w:pPr>
      <w:r w:rsidRPr="00EC5244">
        <w:rPr>
          <w:lang w:val="en-CA"/>
        </w:rPr>
        <w:t xml:space="preserve">To extend the theory of hydrotropy beyond sparingly soluble solutes. </w:t>
      </w:r>
    </w:p>
    <w:p w14:paraId="6530800E" w14:textId="77777777" w:rsidR="00DE6679" w:rsidRPr="00EC5244" w:rsidRDefault="00DE6679" w:rsidP="00DE6679">
      <w:pPr>
        <w:pStyle w:val="TAMainText"/>
        <w:ind w:firstLine="0"/>
        <w:rPr>
          <w:lang w:val="en-CA"/>
        </w:rPr>
      </w:pPr>
    </w:p>
    <w:p w14:paraId="0B465CE7" w14:textId="23E7F07A" w:rsidR="00DE6679" w:rsidRPr="00EC5244" w:rsidRDefault="00DE6679" w:rsidP="00C035D6">
      <w:pPr>
        <w:pStyle w:val="TAMainText"/>
        <w:rPr>
          <w:lang w:val="en-CA"/>
        </w:rPr>
      </w:pPr>
      <w:r w:rsidRPr="00EC5244">
        <w:rPr>
          <w:lang w:val="en-CA"/>
        </w:rPr>
        <w:t>Aim (1) is necessitated by the fact that the basic theories have so far been presented incrementally in several papers</w:t>
      </w:r>
      <w:r w:rsidR="00F431D2" w:rsidRPr="00EC5244">
        <w:rPr>
          <w:lang w:val="en-CA"/>
        </w:rPr>
        <w:fldChar w:fldCharType="begin" w:fldLock="1"/>
      </w:r>
      <w:r w:rsidR="0039109D"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"ITEM-5",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"ITEM-6",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"ITEM-6", "issued" : { "date-parts" : [ [ "2017" ] ] }, "page" : "68-75", "publisher" : "Royal Society of Chemistry", "title" : "Practical molecular thermodynamics for greener solution chemistry", "type" : "article-journal", "volume" : "19" }, "uris" : [ "http://www.mendeley.com/documents/?uuid=38793dd8-a3eb-4655-8aa4-d9f4d4b3778b" ] }, { "id" : "ITEM-7", "itemData" : { "DOI" : "10.1021/acs.jpcb.6b01380", "ISSN" : "15205207", "abstract" : "Supercritical carbon dioxide (scCO2) on its own can be a relatively poor solvent. However, the addition at relatively modest concentration of \u201centrainers\u201d, simple solvent molecules such as ethanol or acetone, can provide a significant boost in solubility, thereby enabling its industrial use. However, how entrainers work is still under debate; without an unambiguous explanation, it is hard to optimize entrainers for any specific solute. This paper demonstrates that a fundamental, assumption-free statistical thermodynamic theory, the Kirkwood\u2013Buff (KB) theory, can provide an unambiguous explanation of the entrainer effect through an analysis of published experimental data. The KB theory shows that a strong solute\u2013entrainer interaction accounts for the solubility enhancement, while CO2 density increase and/or CO2\u2013entrainer interactions, which have been assumed widely in the literature, do not account for solubilization. This conclusion, despite the limited completeness of available data, is demonstrably robu...", "author" : [ { "dropping-particle" : "", "family" : "Shimizu", "given" : "Seishi", "non-dropping-particle" : "", "parse-names" : false, "suffix" : "" }, { "dropping-particle" : "", "family" : "Abbott", "given" : "Steven", "non-dropping-particle" : "", "parse-names" : false, "suffix" : "" } ], "container-title" : "Journal of Physical Chemistry B", "id" : "ITEM-7", "issue" : "15", "issued" : { "date-parts" : [ [ "2016" ] ] }, "page" : "3713-3723", "title" : "How Entrainers Enhance Solubility in Supercritical Carbon Dioxide", "type" : "article-journal", "volume" : "120" }, "uris" : [ "http://www.mendeley.com/documents/?uuid=e6bc2365-d37f-4bf0-aa8b-df44083b9f4c" ] } ], "mendeley" : { "formattedCitation" : "&lt;sup&gt;8\u201311,13,29,34&lt;/sup&gt;", "plainTextFormattedCitation" : "8\u201311,13,29,34", "previouslyFormattedCitation" : "&lt;sup&gt;8\u201311,13,29,34&lt;/sup&gt;" }, "properties" : { "noteIndex" : 0 }, "schema" : "https://github.com/citation-style-language/schema/raw/master/csl-citation.json" }</w:instrText>
      </w:r>
      <w:r w:rsidR="00F431D2" w:rsidRPr="00EC5244">
        <w:rPr>
          <w:lang w:val="en-CA"/>
        </w:rPr>
        <w:fldChar w:fldCharType="separate"/>
      </w:r>
      <w:r w:rsidR="0039109D" w:rsidRPr="00EC5244">
        <w:rPr>
          <w:noProof/>
          <w:vertAlign w:val="superscript"/>
          <w:lang w:val="en-CA"/>
        </w:rPr>
        <w:t>8–11,13,29,34</w:t>
      </w:r>
      <w:r w:rsidR="00F431D2" w:rsidRPr="00EC5244">
        <w:rPr>
          <w:lang w:val="en-CA"/>
        </w:rPr>
        <w:fldChar w:fldCharType="end"/>
      </w:r>
      <w:r w:rsidRPr="00EC5244">
        <w:rPr>
          <w:lang w:val="en-CA"/>
        </w:rPr>
        <w:t xml:space="preserve"> and a unified perspective is now in order</w:t>
      </w:r>
      <w:r w:rsidR="00A16D86" w:rsidRPr="00EC5244">
        <w:rPr>
          <w:lang w:val="en-CA"/>
        </w:rPr>
        <w:t>.</w:t>
      </w:r>
      <w:r w:rsidRPr="00EC5244">
        <w:rPr>
          <w:lang w:val="en-CA"/>
        </w:rPr>
        <w:t xml:space="preserve"> </w:t>
      </w:r>
      <w:r w:rsidR="007D0E6F" w:rsidRPr="00EC5244">
        <w:rPr>
          <w:lang w:val="en-CA"/>
        </w:rPr>
        <w:t>Aim (2) is based upon a principle</w:t>
      </w:r>
      <w:r w:rsidR="00AA5541" w:rsidRPr="00EC5244">
        <w:rPr>
          <w:lang w:val="en-CA"/>
        </w:rPr>
        <w:t xml:space="preserve"> introduced in one of our biophysical papers</w:t>
      </w:r>
      <w:r w:rsidR="00F431D2" w:rsidRPr="00EC5244">
        <w:rPr>
          <w:lang w:val="en-CA"/>
        </w:rPr>
        <w:fldChar w:fldCharType="begin" w:fldLock="1"/>
      </w:r>
      <w:r w:rsidR="00A07779"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"mendeley" : { "formattedCitation" : "&lt;sup&gt;27&lt;/sup&gt;", "plainTextFormattedCitation" : "27", "previouslyFormattedCitation" : "&lt;sup&gt;27&lt;/sup&gt;" }, "properties" : { "noteIndex" : 0 }, "schema" : "https://github.com/citation-style-language/schema/raw/master/csl-citation.json" }</w:instrText>
      </w:r>
      <w:r w:rsidR="00F431D2" w:rsidRPr="00EC5244">
        <w:rPr>
          <w:lang w:val="en-CA"/>
        </w:rPr>
        <w:fldChar w:fldCharType="separate"/>
      </w:r>
      <w:r w:rsidR="00A07779" w:rsidRPr="00EC5244">
        <w:rPr>
          <w:noProof/>
          <w:vertAlign w:val="superscript"/>
          <w:lang w:val="en-CA"/>
        </w:rPr>
        <w:t>27</w:t>
      </w:r>
      <w:r w:rsidR="00F431D2" w:rsidRPr="00EC5244">
        <w:rPr>
          <w:lang w:val="en-CA"/>
        </w:rPr>
        <w:fldChar w:fldCharType="end"/>
      </w:r>
      <w:r w:rsidR="00AA5541" w:rsidRPr="00EC5244">
        <w:rPr>
          <w:lang w:val="en-CA"/>
        </w:rPr>
        <w:t xml:space="preserve"> as the way to establish</w:t>
      </w:r>
      <w:r w:rsidR="00037B47" w:rsidRPr="00EC5244">
        <w:rPr>
          <w:lang w:val="en-CA"/>
        </w:rPr>
        <w:t xml:space="preserve"> a</w:t>
      </w:r>
      <w:r w:rsidR="00AA5541" w:rsidRPr="00EC5244">
        <w:rPr>
          <w:lang w:val="en-CA"/>
        </w:rPr>
        <w:t xml:space="preserve"> fundamental distinction between a solute and a surface, and will be exploited throughout this paper to distinguish apparently similar yet fundamentally different mechanisms at work in solubilization. </w:t>
      </w:r>
      <w:r w:rsidR="007D0E6F" w:rsidRPr="00EC5244">
        <w:rPr>
          <w:lang w:val="en-CA"/>
        </w:rPr>
        <w:t xml:space="preserve"> Aim (3) comes from the fact that our previous papers, aiming at establishing a clear molecular picture, focused exclusively on solutes at infinite dilution.</w:t>
      </w:r>
      <w:r w:rsidR="00F431D2" w:rsidRPr="00EC5244">
        <w:rPr>
          <w:lang w:val="en-CA"/>
        </w:rPr>
        <w:fldChar w:fldCharType="begin" w:fldLock="1"/>
      </w:r>
      <w:r w:rsidR="0039109D"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"ITEM-5",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"ITEM-6",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"ITEM-6", "issued" : { "date-parts" : [ [ "2017" ] ] }, "page" : "68-75", "publisher" : "Royal Society of Chemistry", "title" : "Practical molecular thermodynamics for greener solution chemistry", "type" : "article-journal", "volume" : "19" }, "uris" : [ "http://www.mendeley.com/documents/?uuid=38793dd8-a3eb-4655-8aa4-d9f4d4b3778b" ] }, { "id" : "ITEM-7", "itemData" : { "DOI" : "10.1021/acs.jpcb.6b01380", "ISSN" : "15205207", "abstract" : "Supercritical carbon dioxide (scCO2) on its own can be a relatively poor solvent. However, the addition at relatively modest concentration of \u201centrainers\u201d, simple solvent molecules such as ethanol or acetone, can provide a significant boost in solubility, thereby enabling its industrial use. However, how entrainers work is still under debate; without an unambiguous explanation, it is hard to optimize entrainers for any specific solute. This paper demonstrates that a fundamental, assumption-free statistical thermodynamic theory, the Kirkwood\u2013Buff (KB) theory, can provide an unambiguous explanation of the entrainer effect through an analysis of published experimental data. The KB theory shows that a strong solute\u2013entrainer interaction accounts for the solubility enhancement, while CO2 density increase and/or CO2\u2013entrainer interactions, which have been assumed widely in the literature, do not account for solubilization. This conclusion, despite the limited completeness of available data, is demonstrably robu...", "author" : [ { "dropping-particle" : "", "family" : "Shimizu", "given" : "Seishi", "non-dropping-particle" : "", "parse-names" : false, "suffix" : "" }, { "dropping-particle" : "", "family" : "Abbott", "given" : "Steven", "non-dropping-particle" : "", "parse-names" : false, "suffix" : "" } ], "container-title" : "Journal of Physical Chemistry B", "id" : "ITEM-7", "issue" : "15", "issued" : { "date-parts" : [ [ "2016" ] ] }, "page" : "3713-3723", "title" : "How Entrainers Enhance Solubility in Supercritical Carbon Dioxide", "type" : "article-journal", "volume" : "120" }, "uris" : [ "http://www.mendeley.com/documents/?uuid=e6bc2365-d37f-4bf0-aa8b-df44083b9f4c" ] } ], "mendeley" : { "formattedCitation" : "&lt;sup&gt;8\u201311,13,29,34&lt;/sup&gt;", "plainTextFormattedCitation" : "8\u201311,13,29,34", "previouslyFormattedCitation" : "&lt;sup&gt;8\u201311,13,29,34&lt;/sup&gt;" }, "properties" : { "noteIndex" : 0 }, "schema" : "https://github.com/citation-style-language/schema/raw/master/csl-citation.json" }</w:instrText>
      </w:r>
      <w:r w:rsidR="00F431D2" w:rsidRPr="00EC5244">
        <w:rPr>
          <w:lang w:val="en-CA"/>
        </w:rPr>
        <w:fldChar w:fldCharType="separate"/>
      </w:r>
      <w:r w:rsidR="0039109D" w:rsidRPr="00EC5244">
        <w:rPr>
          <w:noProof/>
          <w:vertAlign w:val="superscript"/>
          <w:lang w:val="en-CA"/>
        </w:rPr>
        <w:t>8–11,13,29,34</w:t>
      </w:r>
      <w:r w:rsidR="00F431D2" w:rsidRPr="00EC5244">
        <w:rPr>
          <w:lang w:val="en-CA"/>
        </w:rPr>
        <w:fldChar w:fldCharType="end"/>
      </w:r>
      <w:r w:rsidR="007D0E6F" w:rsidRPr="00EC5244">
        <w:rPr>
          <w:lang w:val="en-CA"/>
        </w:rPr>
        <w:t xml:space="preserve"> Yet our theory can be extendable to solutes with high solubilit</w:t>
      </w:r>
      <w:r w:rsidR="00615B5C" w:rsidRPr="00EC5244">
        <w:rPr>
          <w:lang w:val="en-CA"/>
        </w:rPr>
        <w:t xml:space="preserve">y, even though the </w:t>
      </w:r>
      <w:r w:rsidR="007D0E6F" w:rsidRPr="00EC5244">
        <w:rPr>
          <w:lang w:val="en-CA"/>
        </w:rPr>
        <w:t>determination of the KBIs will require more experiments.</w:t>
      </w:r>
      <w:r w:rsidR="00B77F33" w:rsidRPr="00EC5244">
        <w:rPr>
          <w:lang w:val="en-CA"/>
        </w:rPr>
        <w:t xml:space="preserve"> A general picture of hydrotropy will emerge from this extension. </w:t>
      </w:r>
    </w:p>
    <w:p w14:paraId="15B9D985" w14:textId="77777777" w:rsidR="00DE6679" w:rsidRPr="00EC5244" w:rsidRDefault="00DE6679" w:rsidP="00283FBB">
      <w:pPr>
        <w:pStyle w:val="TAMainText"/>
        <w:ind w:firstLine="0"/>
        <w:rPr>
          <w:b/>
          <w:lang w:val="en-CA"/>
        </w:rPr>
      </w:pPr>
    </w:p>
    <w:p w14:paraId="66AF4AD0" w14:textId="463260D6" w:rsidR="00550394" w:rsidRPr="00EC5244" w:rsidRDefault="00612922" w:rsidP="00283FBB">
      <w:pPr>
        <w:pStyle w:val="TAMainText"/>
        <w:ind w:firstLine="0"/>
        <w:rPr>
          <w:b/>
          <w:lang w:val="en-CA"/>
        </w:rPr>
      </w:pPr>
      <w:r w:rsidRPr="00EC5244">
        <w:rPr>
          <w:b/>
          <w:lang w:val="en-CA"/>
        </w:rPr>
        <w:t>2. Gibbs phase rules</w:t>
      </w:r>
      <w:r w:rsidR="00365B70" w:rsidRPr="00EC5244">
        <w:rPr>
          <w:b/>
          <w:lang w:val="en-CA"/>
        </w:rPr>
        <w:t xml:space="preserve"> and the number of independent Kirkwood-Buff integrals involving the solute</w:t>
      </w:r>
    </w:p>
    <w:p w14:paraId="0E3E3A8F" w14:textId="3594857A" w:rsidR="00612922" w:rsidRPr="00EC5244" w:rsidRDefault="00612922" w:rsidP="00283FBB">
      <w:pPr>
        <w:pStyle w:val="TAMainText"/>
        <w:ind w:firstLine="0"/>
        <w:rPr>
          <w:lang w:val="en-CA"/>
        </w:rPr>
      </w:pPr>
    </w:p>
    <w:p w14:paraId="6CA27F7F" w14:textId="24811F0B" w:rsidR="00AA5541" w:rsidRPr="00EC5244" w:rsidRDefault="003D5935" w:rsidP="00283FBB">
      <w:pPr>
        <w:pStyle w:val="TAMainText"/>
        <w:ind w:firstLine="0"/>
        <w:rPr>
          <w:lang w:val="en-CA"/>
        </w:rPr>
      </w:pPr>
      <w:r w:rsidRPr="00EC5244">
        <w:rPr>
          <w:lang w:val="en-CA"/>
        </w:rPr>
        <w:t>A simple consideration based upon the Gibbs phase rule is crucial in clarifying the number of independent KB integrals determina</w:t>
      </w:r>
      <w:r w:rsidR="00977F37" w:rsidRPr="00EC5244">
        <w:rPr>
          <w:lang w:val="en-CA"/>
        </w:rPr>
        <w:t xml:space="preserve">ble </w:t>
      </w:r>
      <w:r w:rsidR="008365D7" w:rsidRPr="00EC5244">
        <w:rPr>
          <w:lang w:val="en-CA"/>
        </w:rPr>
        <w:t xml:space="preserve">in principle from </w:t>
      </w:r>
      <w:r w:rsidR="00977F37" w:rsidRPr="00EC5244">
        <w:rPr>
          <w:lang w:val="en-CA"/>
        </w:rPr>
        <w:t>ex</w:t>
      </w:r>
      <w:r w:rsidR="008365D7" w:rsidRPr="00EC5244">
        <w:rPr>
          <w:lang w:val="en-CA"/>
        </w:rPr>
        <w:t>periments. Simple as it may sound</w:t>
      </w:r>
      <w:r w:rsidR="00977F37" w:rsidRPr="00EC5244">
        <w:rPr>
          <w:lang w:val="en-CA"/>
        </w:rPr>
        <w:t xml:space="preserve">, it is often difficult to exploit this relationship </w:t>
      </w:r>
      <w:r w:rsidR="001A34AB" w:rsidRPr="00EC5244">
        <w:rPr>
          <w:lang w:val="en-CA"/>
        </w:rPr>
        <w:t xml:space="preserve">consciously </w:t>
      </w:r>
      <w:r w:rsidR="00977F37" w:rsidRPr="00EC5244">
        <w:rPr>
          <w:lang w:val="en-CA"/>
        </w:rPr>
        <w:t>for the interpretation of experimental data.</w:t>
      </w:r>
      <w:r w:rsidR="00264337" w:rsidRPr="00EC5244">
        <w:rPr>
          <w:lang w:val="en-CA"/>
        </w:rPr>
        <w:fldChar w:fldCharType="begin" w:fldLock="1"/>
      </w:r>
      <w:r w:rsidR="00A07779"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"mendeley" : { "formattedCitation" : "&lt;sup&gt;27&lt;/sup&gt;", "plainTextFormattedCitation" : "27", "previouslyFormattedCitation" : "&lt;sup&gt;27&lt;/sup&gt;" }, "properties" : { "noteIndex" : 0 }, "schema" : "https://github.com/citation-style-language/schema/raw/master/csl-citation.json" }</w:instrText>
      </w:r>
      <w:r w:rsidR="00264337" w:rsidRPr="00EC5244">
        <w:rPr>
          <w:lang w:val="en-CA"/>
        </w:rPr>
        <w:fldChar w:fldCharType="separate"/>
      </w:r>
      <w:r w:rsidR="00A07779" w:rsidRPr="00EC5244">
        <w:rPr>
          <w:noProof/>
          <w:vertAlign w:val="superscript"/>
          <w:lang w:val="en-CA"/>
        </w:rPr>
        <w:t>27</w:t>
      </w:r>
      <w:r w:rsidR="00264337" w:rsidRPr="00EC5244">
        <w:rPr>
          <w:lang w:val="en-CA"/>
        </w:rPr>
        <w:fldChar w:fldCharType="end"/>
      </w:r>
      <w:r w:rsidR="00AA5541" w:rsidRPr="00EC5244">
        <w:rPr>
          <w:lang w:val="en-CA"/>
        </w:rPr>
        <w:t xml:space="preserve"> </w:t>
      </w:r>
    </w:p>
    <w:p w14:paraId="71600718" w14:textId="77777777" w:rsidR="00AA5541" w:rsidRPr="00EC5244" w:rsidRDefault="00AA5541" w:rsidP="00283FBB">
      <w:pPr>
        <w:pStyle w:val="TAMainText"/>
        <w:ind w:firstLine="0"/>
        <w:rPr>
          <w:lang w:val="en-CA"/>
        </w:rPr>
      </w:pPr>
    </w:p>
    <w:p w14:paraId="1DD1660D" w14:textId="49741589" w:rsidR="003D5935" w:rsidRPr="00EC5244" w:rsidRDefault="00AA5541" w:rsidP="00C035D6">
      <w:pPr>
        <w:pStyle w:val="TAMainText"/>
        <w:rPr>
          <w:lang w:val="en-CA"/>
        </w:rPr>
      </w:pPr>
      <w:r w:rsidRPr="00EC5244">
        <w:rPr>
          <w:lang w:val="en-CA"/>
        </w:rPr>
        <w:t xml:space="preserve">Before moving onto </w:t>
      </w:r>
      <w:r w:rsidR="00C035D6" w:rsidRPr="00EC5244">
        <w:rPr>
          <w:lang w:val="en-CA"/>
        </w:rPr>
        <w:t xml:space="preserve">the application to </w:t>
      </w:r>
      <w:r w:rsidR="00DE3A5A" w:rsidRPr="00EC5244">
        <w:rPr>
          <w:lang w:val="en-CA"/>
        </w:rPr>
        <w:t>hydrotropy</w:t>
      </w:r>
      <w:r w:rsidRPr="00EC5244">
        <w:rPr>
          <w:lang w:val="en-CA"/>
        </w:rPr>
        <w:t xml:space="preserve"> itself, let us briefly reiterate</w:t>
      </w:r>
      <w:r w:rsidR="00C035D6" w:rsidRPr="00EC5244">
        <w:rPr>
          <w:lang w:val="en-CA"/>
        </w:rPr>
        <w:t xml:space="preserve"> why </w:t>
      </w:r>
      <w:r w:rsidR="001A34AB" w:rsidRPr="00EC5244">
        <w:rPr>
          <w:lang w:val="en-CA"/>
        </w:rPr>
        <w:t xml:space="preserve">applying </w:t>
      </w:r>
      <w:r w:rsidR="00C035D6" w:rsidRPr="00EC5244">
        <w:rPr>
          <w:lang w:val="en-CA"/>
        </w:rPr>
        <w:t>such a simple approach</w:t>
      </w:r>
      <w:r w:rsidR="00DE3A5A" w:rsidRPr="00EC5244">
        <w:rPr>
          <w:lang w:val="en-CA"/>
        </w:rPr>
        <w:t xml:space="preserve"> </w:t>
      </w:r>
      <w:r w:rsidR="001A34AB" w:rsidRPr="00EC5244">
        <w:rPr>
          <w:lang w:val="en-CA"/>
        </w:rPr>
        <w:t>has been difficult</w:t>
      </w:r>
      <w:r w:rsidR="00DE3A5A" w:rsidRPr="00EC5244">
        <w:rPr>
          <w:lang w:val="en-CA"/>
        </w:rPr>
        <w:t>, which</w:t>
      </w:r>
      <w:r w:rsidR="008365D7" w:rsidRPr="00EC5244">
        <w:rPr>
          <w:lang w:val="en-CA"/>
        </w:rPr>
        <w:t xml:space="preserve"> can be </w:t>
      </w:r>
      <w:r w:rsidR="00977F37" w:rsidRPr="00EC5244">
        <w:rPr>
          <w:lang w:val="en-CA"/>
        </w:rPr>
        <w:t>best illustrated by a controversy</w:t>
      </w:r>
      <w:r w:rsidR="00264337" w:rsidRPr="00EC5244">
        <w:rPr>
          <w:lang w:val="en-CA"/>
        </w:rPr>
        <w:fldChar w:fldCharType="begin" w:fldLock="1"/>
      </w:r>
      <w:r w:rsidR="0039109D" w:rsidRPr="00EC5244">
        <w:rPr>
          <w:lang w:val="en-CA"/>
        </w:rPr>
        <w:instrText>ADDIN CSL_CITATION { "citationItems" : [ { "id" : "ITEM-1", "itemData" : { "DOI" : "10.1073/pnas.95.13.7363", "ISBN" : "0027-8424", "ISSN" : "00278424", "PMID" : "9636154", "abstract" : "In the practice of \u201cosmotic stress,\u201d the effect of excluded cosolvents on a biochemical equilibrium is interpreted as the number of water molecules participating in the reaction. This action is attributed to lowering of solvent water activity by the cosolvent. This concept of osmotic stress in disperse solution is erroneous: (i) A cosolvent cannot be both excluded and inert, i.e., noninteracting, because exclusion requires a positive free energy change; (ii) a decrease in water activity alone by addition of solute cannot affect an equilibrium when the reacting surface is in contact with the solvent; and (iii) osmotic stress in disperse solution is a restricted case of preferential interactions; the reaction is driven by the free energy of cosolvent exclusion, and the derived number of water molecules is solely a measure of the mutual perturbations of the chemical potentials of the cosolvent and the protein.", "author" : [ { "dropping-particle" : "", "family" : "Timasheff", "given" : "Serge N", "non-dropping-particle" : "", "parse-names" : false, "suffix" : "" } ], "container-title" : "Proceedings of the National Academy of Sciences", "id" : "ITEM-1", "issue" : "13", "issued" : { "date-parts" : [ [ "1998" ] ] }, "page" : "7363-7367", "title" : "In disperse solution, \u201cosmotic stress\u201d is a restricted case of preferential interactions", "type" : "article-journal", "volume" : "95" }, "uris" : [ "http://www.mendeley.com/documents/?uuid=7d34608c-8b45-4de7-8c54-8d43e4e39b81" ] }, { "id" : "ITEM-2", "itemData" : { "DOI" : "10.1073/pnas.97.8.3987", "ISBN" : "0027-8424", "ISSN" : "0027-8424", "PMID" : "10760270", "abstract" : "There has been much confusion recently about the relative merits of different approaches, osmotic stress, preferential interaction, and crowding, to describe the indirect effect of solutes on macromolecular conformations and reactions. To strengthen all interpretations of measurements and to forestall further unnecessary conceptual or linguistic confusion, we show here how the different perspectives all can be reconciled. Our approach is through the Gibbs-Duhem relation, the universal constraint on the number of ways it is possible to change the temperature, pressure, and chemical potentials of the several components in any thermodynamically defined system. From this general Gibbs-Duhem equation, it is possible to see the equivalence of the different perspectives and even to show the precise identity of the more specialized equations that the different approaches use.", "author" : [ { "dropping-particle" : "", "family" : "Parsegian", "given" : "V A", "non-dropping-particle" : "", "parse-names" : false, "suffix" : "" }, { "dropping-particle" : "", "family" : "Rand", "given" : "R P", "non-dropping-particle" : "", "parse-names" : false, "suffix" : "" }, { "dropping-particle" : "", "family" : "Rau", "given" : "D C", "non-dropping-particle" : "", "parse-names" : false, "suffix" : "" } ], "container-title" : "Proceedings of the National Academy of Sciences of the United States of America", "id" : "ITEM-2", "issue" : "8", "issued" : { "date-parts" : [ [ "2000" ] ] }, "page" : "3987-3992", "title" : "Osmotic stress, crowding, preferential hydration, and binding: A comparison of perspectives.", "type" : "article-journal", "volume" : "97" }, "uris" : [ "http://www.mendeley.com/documents/?uuid=ac842065-aeed-4562-81c8-9a1c1d00c2a7" ] }, { "id" : "ITEM-3", "itemData" : { "author" : [ { "dropping-particle" : "", "family" : "Timasheff", "given" : "Serge N", "non-dropping-particle" : "", "parse-names" : false, "suffix" : "" } ], "container-title" : "Proceedings of the National Academy of Sciences", "id" : "ITEM-3", "issue" : "15", "issued" : { "date-parts" : [ [ "2002" ] ] }, "page" : "9721-9726", "title" : "Protein-solvent preferential interactions , protein hydration , and the modulation of biochemical reactions by solvent components", "type" : "article-journal", "volume" : "99" }, "uris" : [ "http://www.mendeley.com/documents/?uuid=5bee905d-fdd4-4582-a49a-15018471ab27" ] }, { "id" : "ITEM-4",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"ITEM-4",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"mendeley" : { "formattedCitation" : "&lt;sup&gt;25,35\u201337&lt;/sup&gt;", "plainTextFormattedCitation" : "25,35\u201337", "previouslyFormattedCitation" : "&lt;sup&gt;25,35\u201337&lt;/sup&gt;" }, "properties" : { "noteIndex" : 0 }, "schema" : "https://github.com/citation-style-language/schema/raw/master/csl-citation.json" }</w:instrText>
      </w:r>
      <w:r w:rsidR="00264337" w:rsidRPr="00EC5244">
        <w:rPr>
          <w:lang w:val="en-CA"/>
        </w:rPr>
        <w:fldChar w:fldCharType="separate"/>
      </w:r>
      <w:r w:rsidR="0039109D" w:rsidRPr="00EC5244">
        <w:rPr>
          <w:noProof/>
          <w:vertAlign w:val="superscript"/>
          <w:lang w:val="en-CA"/>
        </w:rPr>
        <w:t>25,35–37</w:t>
      </w:r>
      <w:r w:rsidR="00264337" w:rsidRPr="00EC5244">
        <w:rPr>
          <w:lang w:val="en-CA"/>
        </w:rPr>
        <w:fldChar w:fldCharType="end"/>
      </w:r>
      <w:r w:rsidR="00977F37" w:rsidRPr="00EC5244">
        <w:rPr>
          <w:lang w:val="en-CA"/>
        </w:rPr>
        <w:t xml:space="preserve"> over the validity of the osmotic stress technique </w:t>
      </w:r>
      <w:r w:rsidR="001A34AB" w:rsidRPr="00EC5244">
        <w:rPr>
          <w:lang w:val="en-CA"/>
        </w:rPr>
        <w:t xml:space="preserve">(OST) </w:t>
      </w:r>
      <w:r w:rsidR="00977F37" w:rsidRPr="00EC5244">
        <w:rPr>
          <w:lang w:val="en-CA"/>
        </w:rPr>
        <w:t xml:space="preserve">for the evaluation of hydration changes that accompany </w:t>
      </w:r>
      <w:r w:rsidR="00414756" w:rsidRPr="00EC5244">
        <w:rPr>
          <w:lang w:val="en-CA"/>
        </w:rPr>
        <w:t xml:space="preserve">biochemical processes, i.e., to modulate the equilibrium constant </w:t>
      </w:r>
      <m:oMath>
        <m:r>
          <w:rPr>
            <w:rFonts w:ascii="Cambria Math" w:hAnsi="Cambria Math"/>
            <w:lang w:val="en-CA"/>
          </w:rPr>
          <m:t>K</m:t>
        </m:r>
      </m:oMath>
      <w:r w:rsidR="00414756" w:rsidRPr="00EC5244">
        <w:rPr>
          <w:lang w:val="en-CA"/>
        </w:rPr>
        <w:t xml:space="preserve"> (of binding, allosteric pro</w:t>
      </w:r>
      <w:r w:rsidR="001A34AB" w:rsidRPr="00EC5244">
        <w:rPr>
          <w:lang w:val="en-CA"/>
        </w:rPr>
        <w:t>cess, or channel opening) through the</w:t>
      </w:r>
      <w:r w:rsidR="00414756" w:rsidRPr="00EC5244">
        <w:rPr>
          <w:lang w:val="en-CA"/>
        </w:rPr>
        <w:t xml:space="preserve"> addition of osmolytes to evaluate the accompanying change of hydration. Whether the excess solvation numbers of water and osmolyte molecules around the biomolecule can both be determinable in princip</w:t>
      </w:r>
      <w:r w:rsidR="001A34AB" w:rsidRPr="00EC5244">
        <w:rPr>
          <w:lang w:val="en-CA"/>
        </w:rPr>
        <w:t>le was the central focus</w:t>
      </w:r>
      <w:r w:rsidR="00414756" w:rsidRPr="00EC5244">
        <w:rPr>
          <w:lang w:val="en-CA"/>
        </w:rPr>
        <w:t xml:space="preserve"> of this debate.</w:t>
      </w:r>
      <w:r w:rsidR="00264337" w:rsidRPr="00EC5244">
        <w:rPr>
          <w:lang w:val="en-CA"/>
        </w:rPr>
        <w:fldChar w:fldCharType="begin" w:fldLock="1"/>
      </w:r>
      <w:r w:rsidR="0039109D" w:rsidRPr="00EC5244">
        <w:rPr>
          <w:lang w:val="en-CA"/>
        </w:rPr>
        <w:instrText>ADDIN CSL_CITATION { "citationItems" : [ { "id" : "ITEM-1", "itemData" : { "DOI" : "10.1073/pnas.95.13.7363", "ISBN" : "0027-8424", "ISSN" : "00278424", "PMID" : "9636154", "abstract" : "In the practice of \u201cosmotic stress,\u201d the effect of excluded cosolvents on a biochemical equilibrium is interpreted as the number of water molecules participating in the reaction. This action is attributed to lowering of solvent water activity by the cosolvent. This concept of osmotic stress in disperse solution is erroneous: (i) A cosolvent cannot be both excluded and inert, i.e., noninteracting, because exclusion requires a positive free energy change; (ii) a decrease in water activity alone by addition of solute cannot affect an equilibrium when the reacting surface is in contact with the solvent; and (iii) osmotic stress in disperse solution is a restricted case of preferential interactions; the reaction is driven by the free energy of cosolvent exclusion, and the derived number of water molecules is solely a measure of the mutual perturbations of the chemical potentials of the cosolvent and the protein.", "author" : [ { "dropping-particle" : "", "family" : "Timasheff", "given" : "Serge N", "non-dropping-particle" : "", "parse-names" : false, "suffix" : "" } ], "container-title" : "Proceedings of the National Academy of Sciences", "id" : "ITEM-1", "issue" : "13", "issued" : { "date-parts" : [ [ "1998" ] ] }, "page" : "7363-7367", "title" : "In disperse solution, \u201cosmotic stress\u201d is a restricted case of preferential interactions", "type" : "article-journal", "volume" : "95" }, "uris" : [ "http://www.mendeley.com/documents/?uuid=7d34608c-8b45-4de7-8c54-8d43e4e39b81" ] }, { "id" : "ITEM-2", "itemData" : { "DOI" : "10.1073/pnas.97.8.3987", "ISBN" : "0027-8424", "ISSN" : "0027-8424", "PMID" : "10760270", "abstract" : "There has been much confusion recently about the relative merits of different approaches, osmotic stress, preferential interaction, and crowding, to describe the indirect effect of solutes on macromolecular conformations and reactions. To strengthen all interpretations of measurements and to forestall further unnecessary conceptual or linguistic confusion, we show here how the different perspectives all can be reconciled. Our approach is through the Gibbs-Duhem relation, the universal constraint on the number of ways it is possible to change the temperature, pressure, and chemical potentials of the several components in any thermodynamically defined system. From this general Gibbs-Duhem equation, it is possible to see the equivalence of the different perspectives and even to show the precise identity of the more specialized equations that the different approaches use.", "author" : [ { "dropping-particle" : "", "family" : "Parsegian", "given" : "V A", "non-dropping-particle" : "", "parse-names" : false, "suffix" : "" }, { "dropping-particle" : "", "family" : "Rand", "given" : "R P", "non-dropping-particle" : "", "parse-names" : false, "suffix" : "" }, { "dropping-particle" : "", "family" : "Rau", "given" : "D C", "non-dropping-particle" : "", "parse-names" : false, "suffix" : "" } ], "container-title" : "Proceedings of the National Academy of Sciences of the United States of America", "id" : "ITEM-2", "issue" : "8", "issued" : { "date-parts" : [ [ "2000" ] ] }, "page" : "3987-3992", "title" : "Osmotic stress, crowding, preferential hydration, and binding: A comparison of perspectives.", "type" : "article-journal", "volume" : "97" }, "uris" : [ "http://www.mendeley.com/documents/?uuid=ac842065-aeed-4562-81c8-9a1c1d00c2a7" ] }, { "id" : "ITEM-3", "itemData" : { "author" : [ { "dropping-particle" : "", "family" : "Timasheff", "given" : "Serge N", "non-dropping-particle" : "", "parse-names" : false, "suffix" : "" } ], "container-title" : "Proceedings of the National Academy of Sciences", "id" : "ITEM-3", "issue" : "15", "issued" : { "date-parts" : [ [ "2002" ] ] }, "page" : "9721-9726", "title" : "Protein-solvent preferential interactions , protein hydration , and the modulation of biochemical reactions by solvent components", "type" : "article-journal", "volume" : "99" }, "uris" : [ "http://www.mendeley.com/documents/?uuid=5bee905d-fdd4-4582-a49a-15018471ab27" ] }, { "id" : "ITEM-4",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"ITEM-4",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"mendeley" : { "formattedCitation" : "&lt;sup&gt;25,35\u201337&lt;/sup&gt;", "plainTextFormattedCitation" : "25,35\u201337", "previouslyFormattedCitation" : "&lt;sup&gt;25,35\u201337&lt;/sup&gt;" }, "properties" : { "noteIndex" : 0 }, "schema" : "https://github.com/citation-style-language/schema/raw/master/csl-citation.json" }</w:instrText>
      </w:r>
      <w:r w:rsidR="00264337" w:rsidRPr="00EC5244">
        <w:rPr>
          <w:lang w:val="en-CA"/>
        </w:rPr>
        <w:fldChar w:fldCharType="separate"/>
      </w:r>
      <w:r w:rsidR="0039109D" w:rsidRPr="00EC5244">
        <w:rPr>
          <w:noProof/>
          <w:vertAlign w:val="superscript"/>
          <w:lang w:val="en-CA"/>
        </w:rPr>
        <w:t>25,35–37</w:t>
      </w:r>
      <w:r w:rsidR="00264337" w:rsidRPr="00EC5244">
        <w:rPr>
          <w:lang w:val="en-CA"/>
        </w:rPr>
        <w:fldChar w:fldCharType="end"/>
      </w:r>
      <w:r w:rsidR="00414756" w:rsidRPr="00EC5244">
        <w:rPr>
          <w:lang w:val="en-CA"/>
        </w:rPr>
        <w:t xml:space="preserve"> A full resolu</w:t>
      </w:r>
      <w:r w:rsidR="008365D7" w:rsidRPr="00EC5244">
        <w:rPr>
          <w:lang w:val="en-CA"/>
        </w:rPr>
        <w:t xml:space="preserve">tion of this debate </w:t>
      </w:r>
      <w:r w:rsidR="008F64C5" w:rsidRPr="00EC5244">
        <w:rPr>
          <w:lang w:val="en-CA"/>
        </w:rPr>
        <w:t xml:space="preserve">(which has led to a successful application of the KB theory to a number of </w:t>
      </w:r>
      <w:r w:rsidR="00B66D18" w:rsidRPr="00EC5244">
        <w:rPr>
          <w:lang w:val="en-CA"/>
        </w:rPr>
        <w:t>systems</w:t>
      </w:r>
      <w:r w:rsidR="00B66D18" w:rsidRPr="00EC5244">
        <w:rPr>
          <w:lang w:val="en-CA"/>
        </w:rPr>
        <w:fldChar w:fldCharType="begin" w:fldLock="1"/>
      </w:r>
      <w:r w:rsidR="0039109D" w:rsidRPr="00EC5244">
        <w:rPr>
          <w:lang w:val="en-CA"/>
        </w:rPr>
        <w:instrText>ADDIN CSL_CITATION { "citationItems" : [ { "id" : "ITEM-1",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"ITEM-1", "issue" : "23", "issued" : { "date-parts" : [ [ "2006" ] ] }, "page" : "234905/1-234905/4", "title" : "The Hofmeister series and protein-salt interactions", "type" : "article-journal", "volume" : "124" }, "uris" : [ "http://www.mendeley.com/documents/?uuid=0a70a1b5-2739-4d43-a695-db256c211fdf" ] }, { "id" : "ITEM-2",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"ITEM-2", "issue" : "1-3", "issued" : { "date-parts" : [ [ "2011" ] ] }, "page" : "156-158", "publisher" : "Elsevier B.V.", "title" : "Molecular origin of the cosolvent-induced changes in the thermal stability of proteins", "type" : "article-journal", "volume" : "514" }, "uris" : [ "http://www.mendeley.com/documents/?uuid=f72a9936-cbbc-4fe0-8a8f-d5f1c1425260" ] }, { "id" : "ITEM-3",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"46", "issued" : { "date-parts" : [ [ "2014" ] ] }, "page" : "13210-13216", "title" : "Gelation: The role of sugars and polyols on gelatin and agarose", "type" : "article-journal", "volume" : "118" }, "uris" : [ "http://www.mendeley.com/documents/?uuid=3f487fe1-7c16-485b-971c-d2e69e2da704" ] }, { "id" : "ITEM-4", "itemData" : { "DOI" : "10.1016/j.foodhyd.2015.10.007", "ISSN" : "0268005X", "abstract" : "The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 "author" : [ { "dropping-particle" : "", "family" : "Stenner", "given" : "Richard", "non-dropping-particle" : "", "parse-names" : false, "suffix" : "" }, { "dropping-particle" : "", "family" : "Matubayasi", "given" : "Nobuyuki", "non-dropping-particle" : "", "parse-names" : false, "suffix" : "" }, { "dropping-particle" : "", "family" : "Shimizu", "given" : "Seishi", "non-dropping-particle" : "", "parse-names" : false, "suffix" : "" } ], "container-title" : "Food Hydrocolloids", "id" : "ITEM-4", "issued" : { "date-parts" : [ [ "2016" ] ] }, "page" : "284-292", "publisher" : "Elsevier Ltd", "title" : "Gelation of carrageenan: Effects of sugars and polyols", "type" : "article-journal", "volume" : "54" }, "uris" : [ "http://www.mendeley.com/documents/?uuid=1ba0dc87-aef9-4f66-a843-a82ff360fd80" ] }, { "id" : "ITEM-5", "itemData" : { "DOI" : "10.1021/acs.jpcb.6b01380", "ISSN" : "15205207", "abstract" : "Supercritical carbon dioxide (scCO2) on its own can be a relatively poor solvent. However, the addition at relatively modest concentration of \u201centrainers\u201d, simple solvent molecules such as ethanol or acetone, can provide a significant boost in solubility, thereby enabling its industrial use. However, how entrainers work is still under debate; without an unambiguous explanation, it is hard to optimize entrainers for any specific solute. This paper demonstrates that a fundamental, assumption-free statistical thermodynamic theory, the Kirkwood\u2013Buff (KB) theory, can provide an unambiguous explanation of the entrainer effect through an analysis of published experimental data. The KB theory shows that a strong solute\u2013entrainer interaction accounts for the solubility enhancement, while CO2 density increase and/or CO2\u2013entrainer interactions, which have been assumed widely in the literature, do not account for solubilization. This conclusion, despite the limited completeness of available data, is demonstrably robu...", "author" : [ { "dropping-particle" : "", "family" : "Shimizu", "given" : "Seishi", "non-dropping-particle" : "", "parse-names" : false, "suffix" : "" }, { "dropping-particle" : "", "family" : "Abbott", "given" : "Steven", "non-dropping-particle" : "", "parse-names" : false, "suffix" : "" } ], "container-title" : "Journal of Physical Chemistry B", "id" : "ITEM-5", "issue" : "15", "issued" : { "date-parts" : [ [ "2016" ] ] }, "page" : "3713-3723", "title" : "How Entrainers Enhance Solubility in Supercritical Carbon Dioxide", "type" : "article-journal", "volume" : "120" }, "uris" : [ "http://www.mendeley.com/documents/?uuid=e6bc2365-d37f-4bf0-aa8b-df44083b9f4c" ] } ], "mendeley" : { "formattedCitation" : "&lt;sup&gt;34,38\u201341&lt;/sup&gt;", "plainTextFormattedCitation" : "34,38\u201341", "previouslyFormattedCitation" : "&lt;sup&gt;34,38\u201341&lt;/sup&gt;" }, "properties" : { "noteIndex" : 0 }, "schema" : "https://github.com/citation-style-language/schema/raw/master/csl-citation.json" }</w:instrText>
      </w:r>
      <w:r w:rsidR="00B66D18" w:rsidRPr="00EC5244">
        <w:rPr>
          <w:lang w:val="en-CA"/>
        </w:rPr>
        <w:fldChar w:fldCharType="separate"/>
      </w:r>
      <w:r w:rsidR="0039109D" w:rsidRPr="00EC5244">
        <w:rPr>
          <w:noProof/>
          <w:vertAlign w:val="superscript"/>
          <w:lang w:val="en-CA"/>
        </w:rPr>
        <w:t>34,38–41</w:t>
      </w:r>
      <w:r w:rsidR="00B66D18" w:rsidRPr="00EC5244">
        <w:rPr>
          <w:lang w:val="en-CA"/>
        </w:rPr>
        <w:fldChar w:fldCharType="end"/>
      </w:r>
      <w:r w:rsidR="008F64C5" w:rsidRPr="00EC5244">
        <w:rPr>
          <w:lang w:val="en-CA"/>
        </w:rPr>
        <w:t xml:space="preserve">) </w:t>
      </w:r>
      <w:r w:rsidR="008365D7" w:rsidRPr="00EC5244">
        <w:rPr>
          <w:lang w:val="en-CA"/>
        </w:rPr>
        <w:t xml:space="preserve">required a simple </w:t>
      </w:r>
      <w:r w:rsidR="00414756" w:rsidRPr="00EC5244">
        <w:rPr>
          <w:lang w:val="en-CA"/>
        </w:rPr>
        <w:t>realization that</w:t>
      </w:r>
      <w:r w:rsidRPr="00EC5244">
        <w:rPr>
          <w:lang w:val="en-CA"/>
        </w:rPr>
        <w:t>,</w:t>
      </w:r>
      <w:r w:rsidR="00072412" w:rsidRPr="00EC5244">
        <w:rPr>
          <w:lang w:val="en-CA"/>
        </w:rPr>
        <w:t xml:space="preserve"> for the determination of</w:t>
      </w:r>
      <w:r w:rsidR="00414756" w:rsidRPr="00EC5244">
        <w:rPr>
          <w:lang w:val="en-CA"/>
        </w:rPr>
        <w:t xml:space="preserve"> two </w:t>
      </w:r>
      <w:r w:rsidR="008365D7" w:rsidRPr="00EC5244">
        <w:rPr>
          <w:lang w:val="en-CA"/>
        </w:rPr>
        <w:t>independent quantities</w:t>
      </w:r>
      <w:r w:rsidR="00414756" w:rsidRPr="00EC5244">
        <w:rPr>
          <w:lang w:val="en-CA"/>
        </w:rPr>
        <w:t xml:space="preserve"> (excess</w:t>
      </w:r>
      <w:r w:rsidR="00072412" w:rsidRPr="00EC5244">
        <w:rPr>
          <w:lang w:val="en-CA"/>
        </w:rPr>
        <w:t xml:space="preserve"> numbers of water and osmolyte)</w:t>
      </w:r>
      <w:r w:rsidR="00414756" w:rsidRPr="00EC5244">
        <w:rPr>
          <w:lang w:val="en-CA"/>
        </w:rPr>
        <w:t xml:space="preserve"> the solvation free energy of a</w:t>
      </w:r>
      <w:r w:rsidR="008365D7" w:rsidRPr="00EC5244">
        <w:rPr>
          <w:lang w:val="en-CA"/>
        </w:rPr>
        <w:t xml:space="preserve"> solute should be modulated via</w:t>
      </w:r>
      <w:r w:rsidR="00414756" w:rsidRPr="00EC5244">
        <w:rPr>
          <w:lang w:val="en-CA"/>
        </w:rPr>
        <w:t xml:space="preserve"> two independent variables (osmolyt</w:t>
      </w:r>
      <w:r w:rsidR="008365D7" w:rsidRPr="00EC5244">
        <w:rPr>
          <w:lang w:val="en-CA"/>
        </w:rPr>
        <w:t>e co</w:t>
      </w:r>
      <w:r w:rsidR="00072412" w:rsidRPr="00EC5244">
        <w:rPr>
          <w:lang w:val="en-CA"/>
        </w:rPr>
        <w:t>ncentration and pressure).</w:t>
      </w:r>
      <w:r w:rsidR="00264337" w:rsidRPr="00EC5244">
        <w:rPr>
          <w:lang w:val="en-CA"/>
        </w:rPr>
        <w:fldChar w:fldCharType="begin" w:fldLock="1"/>
      </w:r>
      <w:r w:rsidR="00A07779" w:rsidRPr="00EC5244">
        <w:rPr>
          <w:lang w:val="en-C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"mendeley" : { "formattedCitation" : "&lt;sup&gt;25&lt;/sup&gt;", "plainTextFormattedCitation" : "25", "previouslyFormattedCitation" : "&lt;sup&gt;25&lt;/sup&gt;" }, "properties" : { "noteIndex" : 0 }, "schema" : "https://github.com/citation-style-language/schema/raw/master/csl-citation.json" }</w:instrText>
      </w:r>
      <w:r w:rsidR="00264337" w:rsidRPr="00EC5244">
        <w:rPr>
          <w:lang w:val="en-CA"/>
        </w:rPr>
        <w:fldChar w:fldCharType="separate"/>
      </w:r>
      <w:r w:rsidR="00A07779" w:rsidRPr="00EC5244">
        <w:rPr>
          <w:noProof/>
          <w:vertAlign w:val="superscript"/>
          <w:lang w:val="en-CA"/>
        </w:rPr>
        <w:t>25</w:t>
      </w:r>
      <w:r w:rsidR="00264337" w:rsidRPr="00EC5244">
        <w:rPr>
          <w:lang w:val="en-CA"/>
        </w:rPr>
        <w:fldChar w:fldCharType="end"/>
      </w:r>
      <w:r w:rsidR="00072412" w:rsidRPr="00EC5244">
        <w:rPr>
          <w:lang w:val="en-CA"/>
        </w:rPr>
        <w:t xml:space="preserve"> This is indeed </w:t>
      </w:r>
      <w:r w:rsidR="008365D7" w:rsidRPr="00EC5244">
        <w:rPr>
          <w:lang w:val="en-CA"/>
        </w:rPr>
        <w:t>the basic consideration behind the solu</w:t>
      </w:r>
      <w:r w:rsidR="00072412" w:rsidRPr="00EC5244">
        <w:rPr>
          <w:lang w:val="en-CA"/>
        </w:rPr>
        <w:t>tion of simultaneous equations, yet it</w:t>
      </w:r>
      <w:r w:rsidR="00FA2F3A" w:rsidRPr="00EC5244">
        <w:rPr>
          <w:lang w:val="en-CA"/>
        </w:rPr>
        <w:t xml:space="preserve"> was only much </w:t>
      </w:r>
      <w:r w:rsidR="00414756" w:rsidRPr="00EC5244">
        <w:rPr>
          <w:lang w:val="en-CA"/>
        </w:rPr>
        <w:t xml:space="preserve">later </w:t>
      </w:r>
      <w:r w:rsidR="00703410" w:rsidRPr="00EC5244">
        <w:rPr>
          <w:lang w:val="en-CA"/>
        </w:rPr>
        <w:t xml:space="preserve">that </w:t>
      </w:r>
      <w:r w:rsidR="00037B47" w:rsidRPr="00EC5244">
        <w:rPr>
          <w:lang w:val="en-CA"/>
        </w:rPr>
        <w:t>Gibbs</w:t>
      </w:r>
      <w:r w:rsidR="00703410" w:rsidRPr="00EC5244">
        <w:rPr>
          <w:lang w:val="en-CA"/>
        </w:rPr>
        <w:t xml:space="preserve"> phase rule </w:t>
      </w:r>
      <w:r w:rsidR="008365D7" w:rsidRPr="00EC5244">
        <w:rPr>
          <w:lang w:val="en-CA"/>
        </w:rPr>
        <w:t xml:space="preserve">was </w:t>
      </w:r>
      <w:r w:rsidR="00072412" w:rsidRPr="00EC5244">
        <w:rPr>
          <w:lang w:val="en-CA"/>
        </w:rPr>
        <w:t>identified as</w:t>
      </w:r>
      <w:r w:rsidR="00703410" w:rsidRPr="00EC5244">
        <w:rPr>
          <w:lang w:val="en-CA"/>
        </w:rPr>
        <w:t xml:space="preserve"> </w:t>
      </w:r>
      <w:r w:rsidR="00DE3A5A" w:rsidRPr="00EC5244">
        <w:rPr>
          <w:lang w:val="en-CA"/>
        </w:rPr>
        <w:t xml:space="preserve">the </w:t>
      </w:r>
      <w:r w:rsidR="00703410" w:rsidRPr="00EC5244">
        <w:rPr>
          <w:lang w:val="en-CA"/>
        </w:rPr>
        <w:t xml:space="preserve">basis for the </w:t>
      </w:r>
      <w:r w:rsidR="00DE3A5A" w:rsidRPr="00EC5244">
        <w:rPr>
          <w:lang w:val="en-CA"/>
        </w:rPr>
        <w:t>exi</w:t>
      </w:r>
      <w:r w:rsidR="00703410" w:rsidRPr="00EC5244">
        <w:rPr>
          <w:lang w:val="en-CA"/>
        </w:rPr>
        <w:t>stence of independent variables</w:t>
      </w:r>
      <w:r w:rsidR="00B076C9" w:rsidRPr="00EC5244">
        <w:rPr>
          <w:lang w:val="en-CA"/>
        </w:rPr>
        <w:t xml:space="preserve"> that can be used to modulate the</w:t>
      </w:r>
      <w:r w:rsidR="00072412" w:rsidRPr="00EC5244">
        <w:rPr>
          <w:lang w:val="en-CA"/>
        </w:rPr>
        <w:t xml:space="preserve"> free energy of solvation, thereby governing</w:t>
      </w:r>
      <w:r w:rsidR="00B076C9" w:rsidRPr="00EC5244">
        <w:rPr>
          <w:lang w:val="en-CA"/>
        </w:rPr>
        <w:t xml:space="preserve"> the number of independently-determinable KB integrals.</w:t>
      </w:r>
      <w:r w:rsidR="00264337" w:rsidRPr="00EC5244">
        <w:rPr>
          <w:lang w:val="en-CA"/>
        </w:rPr>
        <w:fldChar w:fldCharType="begin" w:fldLock="1"/>
      </w:r>
      <w:r w:rsidR="00BB4DD1"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"id" : "ITEM-2", "itemData" : { "DOI" : "10.1016/j.bpc.2017.02.003", "ISSN" : "03014622", "author" : [ { "dropping-particle" : "", "family" : "Shimizu", "given" : "Seishi", "non-dropping-particle" : "", "parse-names" : false, "suffix" : "" }, { "dropping-particle" : "", "family" : "Matubayasi", "given" : "Nobuyuki", "non-dropping-particle" : "", "parse-names" : false, "suffix" : "" } ], "container-title" : "Biophysical Chemistry", "id" : "ITEM-2", "issued" : { "date-parts" : [ [ "2017" ] ] }, "page" : "DOI: 10.1016/j.bpc.2017.02.003", "publisher" : "Elsevier B.V.", "title" : "Osmolyte depletion viewed in terms of the dividing membrane and its work of expansion against osmotic pressure", "type" : "article-journal" }, "uris" : [ "http://www.mendeley.com/documents/?uuid=b0be0468-93f2-4f18-8f9a-a660a03d9df3" ] } ], "mendeley" : { "formattedCitation" : "&lt;sup&gt;27,33&lt;/sup&gt;", "plainTextFormattedCitation" : "27,33", "previouslyFormattedCitation" : "&lt;sup&gt;27,33&lt;/sup&gt;" }, "properties" : { "noteIndex" : 0 }, "schema" : "https://github.com/citation-style-language/schema/raw/master/csl-citation.json" }</w:instrText>
      </w:r>
      <w:r w:rsidR="00264337" w:rsidRPr="00EC5244">
        <w:rPr>
          <w:lang w:val="en-CA"/>
        </w:rPr>
        <w:fldChar w:fldCharType="separate"/>
      </w:r>
      <w:r w:rsidR="0039109D" w:rsidRPr="00EC5244">
        <w:rPr>
          <w:noProof/>
          <w:vertAlign w:val="superscript"/>
          <w:lang w:val="en-CA"/>
        </w:rPr>
        <w:t>27,33</w:t>
      </w:r>
      <w:r w:rsidR="00264337" w:rsidRPr="00EC5244">
        <w:rPr>
          <w:lang w:val="en-CA"/>
        </w:rPr>
        <w:fldChar w:fldCharType="end"/>
      </w:r>
      <w:r w:rsidR="00B076C9" w:rsidRPr="00EC5244">
        <w:rPr>
          <w:lang w:val="en-CA"/>
        </w:rPr>
        <w:t xml:space="preserve"> </w:t>
      </w:r>
      <w:r w:rsidR="00DE3A5A" w:rsidRPr="00EC5244">
        <w:rPr>
          <w:lang w:val="en-CA"/>
        </w:rPr>
        <w:t xml:space="preserve"> </w:t>
      </w:r>
    </w:p>
    <w:p w14:paraId="7B00128A" w14:textId="74B02414" w:rsidR="00365B70" w:rsidRPr="00EC5244" w:rsidRDefault="00365B70" w:rsidP="00283FBB">
      <w:pPr>
        <w:pStyle w:val="TAMainText"/>
        <w:ind w:firstLine="0"/>
        <w:rPr>
          <w:lang w:val="en-CA"/>
        </w:rPr>
      </w:pPr>
    </w:p>
    <w:p w14:paraId="24650C34" w14:textId="33EF7E4D" w:rsidR="009242C2" w:rsidRPr="00EC5244" w:rsidRDefault="009242C2" w:rsidP="00C035D6">
      <w:pPr>
        <w:pStyle w:val="TAMainText"/>
        <w:rPr>
          <w:lang w:val="en-CA"/>
        </w:rPr>
      </w:pPr>
      <w:r w:rsidRPr="00EC5244">
        <w:rPr>
          <w:lang w:val="en-CA"/>
        </w:rPr>
        <w:t xml:space="preserve">An important corollary </w:t>
      </w:r>
      <w:r w:rsidR="00072412" w:rsidRPr="00EC5244">
        <w:rPr>
          <w:lang w:val="en-CA"/>
        </w:rPr>
        <w:t>of the above realization is the</w:t>
      </w:r>
      <w:r w:rsidR="00E739D4" w:rsidRPr="00EC5244">
        <w:rPr>
          <w:lang w:val="en-CA"/>
        </w:rPr>
        <w:t xml:space="preserve"> fundamental difference between a surface and </w:t>
      </w:r>
      <w:r w:rsidR="00AA5541" w:rsidRPr="00EC5244">
        <w:rPr>
          <w:lang w:val="en-CA"/>
        </w:rPr>
        <w:t xml:space="preserve">a solute, even though </w:t>
      </w:r>
      <w:r w:rsidR="00E739D4" w:rsidRPr="00EC5244">
        <w:rPr>
          <w:lang w:val="en-CA"/>
        </w:rPr>
        <w:t>the effect of cosolvents on solvation free energy can be written in a formally identical manner as the Gibbs adsorption isotherm.</w:t>
      </w:r>
      <w:r w:rsidR="00264337" w:rsidRPr="00EC5244">
        <w:rPr>
          <w:lang w:val="en-CA"/>
        </w:rPr>
        <w:fldChar w:fldCharType="begin" w:fldLock="1"/>
      </w:r>
      <w:r w:rsidR="00A07779"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"mendeley" : { "formattedCitation" : "&lt;sup&gt;27&lt;/sup&gt;", "plainTextFormattedCitation" : "27", "previouslyFormattedCitation" : "&lt;sup&gt;27&lt;/sup&gt;" }, "properties" : { "noteIndex" : 0 }, "schema" : "https://github.com/citation-style-language/schema/raw/master/csl-citation.json" }</w:instrText>
      </w:r>
      <w:r w:rsidR="00264337" w:rsidRPr="00EC5244">
        <w:rPr>
          <w:lang w:val="en-CA"/>
        </w:rPr>
        <w:fldChar w:fldCharType="separate"/>
      </w:r>
      <w:r w:rsidR="00A07779" w:rsidRPr="00EC5244">
        <w:rPr>
          <w:noProof/>
          <w:vertAlign w:val="superscript"/>
          <w:lang w:val="en-CA"/>
        </w:rPr>
        <w:t>27</w:t>
      </w:r>
      <w:r w:rsidR="00264337" w:rsidRPr="00EC5244">
        <w:rPr>
          <w:lang w:val="en-CA"/>
        </w:rPr>
        <w:fldChar w:fldCharType="end"/>
      </w:r>
      <w:r w:rsidR="00E739D4" w:rsidRPr="00EC5244">
        <w:rPr>
          <w:lang w:val="en-CA"/>
        </w:rPr>
        <w:t xml:space="preserve"> </w:t>
      </w:r>
      <w:r w:rsidR="008365D7" w:rsidRPr="00EC5244">
        <w:rPr>
          <w:lang w:val="en-CA"/>
        </w:rPr>
        <w:t xml:space="preserve">We will show that </w:t>
      </w:r>
      <w:r w:rsidR="00072412" w:rsidRPr="00EC5244">
        <w:rPr>
          <w:lang w:val="en-CA"/>
        </w:rPr>
        <w:t xml:space="preserve">this fundamental difference comes from the phase rule itself, and is central to our understanding of hydrotropy. </w:t>
      </w:r>
    </w:p>
    <w:p w14:paraId="3748635C" w14:textId="2AB02B1C" w:rsidR="00EA168C" w:rsidRPr="00EC5244" w:rsidRDefault="00EA168C" w:rsidP="00283FBB">
      <w:pPr>
        <w:pStyle w:val="TAMainText"/>
        <w:ind w:firstLine="0"/>
        <w:rPr>
          <w:b/>
          <w:lang w:val="en-CA"/>
        </w:rPr>
      </w:pPr>
    </w:p>
    <w:p w14:paraId="431DF331" w14:textId="2725D7C8" w:rsidR="00612922" w:rsidRPr="00EC5244" w:rsidRDefault="00FA2F3A" w:rsidP="00283FBB">
      <w:pPr>
        <w:pStyle w:val="TAMainText"/>
        <w:ind w:firstLine="0"/>
        <w:rPr>
          <w:b/>
          <w:lang w:val="en-CA"/>
        </w:rPr>
      </w:pPr>
      <w:r w:rsidRPr="00EC5244">
        <w:rPr>
          <w:b/>
          <w:lang w:val="en-CA"/>
        </w:rPr>
        <w:t>3. H</w:t>
      </w:r>
      <w:r w:rsidR="00EA168C" w:rsidRPr="00EC5244">
        <w:rPr>
          <w:b/>
          <w:lang w:val="en-CA"/>
        </w:rPr>
        <w:t>ydrot</w:t>
      </w:r>
      <w:r w:rsidRPr="00EC5244">
        <w:rPr>
          <w:b/>
          <w:lang w:val="en-CA"/>
        </w:rPr>
        <w:t>ropy at extremes</w:t>
      </w:r>
      <w:r w:rsidR="0097233D" w:rsidRPr="00EC5244">
        <w:rPr>
          <w:b/>
          <w:lang w:val="en-CA"/>
        </w:rPr>
        <w:t xml:space="preserve"> </w:t>
      </w:r>
    </w:p>
    <w:p w14:paraId="3C95B191" w14:textId="77777777" w:rsidR="00F056C1" w:rsidRPr="00EC5244" w:rsidRDefault="00F056C1" w:rsidP="00283FBB">
      <w:pPr>
        <w:pStyle w:val="TAMainText"/>
        <w:ind w:firstLine="0"/>
        <w:rPr>
          <w:b/>
          <w:lang w:val="en-CA"/>
        </w:rPr>
      </w:pPr>
    </w:p>
    <w:p w14:paraId="3726553C" w14:textId="2EB1A68B" w:rsidR="009E0893" w:rsidRPr="00EC5244" w:rsidRDefault="00234504" w:rsidP="00283FBB">
      <w:pPr>
        <w:pStyle w:val="TAMainText"/>
        <w:ind w:firstLine="0"/>
        <w:rPr>
          <w:b/>
          <w:lang w:val="en-CA"/>
        </w:rPr>
      </w:pPr>
      <w:r w:rsidRPr="00EC5244">
        <w:rPr>
          <w:b/>
          <w:lang w:val="en-CA"/>
        </w:rPr>
        <w:t>3.1. Cooperative solubilization in a s</w:t>
      </w:r>
      <w:r w:rsidR="00612922" w:rsidRPr="00EC5244">
        <w:rPr>
          <w:b/>
          <w:lang w:val="en-CA"/>
        </w:rPr>
        <w:t>ingle-phase aqueous hydrotrope solutions</w:t>
      </w:r>
    </w:p>
    <w:p w14:paraId="1DEAD79F" w14:textId="77777777" w:rsidR="00FD6CBE" w:rsidRPr="00EC5244" w:rsidRDefault="00FD6CBE" w:rsidP="00283FBB">
      <w:pPr>
        <w:pStyle w:val="TAMainText"/>
        <w:ind w:firstLine="0"/>
        <w:rPr>
          <w:lang w:val="en-CA"/>
        </w:rPr>
      </w:pPr>
    </w:p>
    <w:p w14:paraId="6BF0F7BE" w14:textId="5F498FEB" w:rsidR="009E0893" w:rsidRPr="00EC5244" w:rsidRDefault="009E0893" w:rsidP="00283FBB">
      <w:pPr>
        <w:pStyle w:val="TAMainText"/>
        <w:ind w:firstLine="0"/>
        <w:rPr>
          <w:color w:val="FF0000"/>
          <w:lang w:val="en-CA" w:eastAsia="ja-JP"/>
        </w:rPr>
      </w:pPr>
      <w:r w:rsidRPr="00EC5244">
        <w:rPr>
          <w:lang w:val="en-CA"/>
        </w:rPr>
        <w:t xml:space="preserve">Here we consider </w:t>
      </w:r>
      <w:r w:rsidR="00C035D6" w:rsidRPr="00EC5244">
        <w:rPr>
          <w:lang w:val="en-CA"/>
        </w:rPr>
        <w:t xml:space="preserve">the </w:t>
      </w:r>
      <w:r w:rsidRPr="00EC5244">
        <w:rPr>
          <w:lang w:val="en-CA"/>
        </w:rPr>
        <w:t>solubilization of hy</w:t>
      </w:r>
      <w:r w:rsidR="00AA5541" w:rsidRPr="00EC5244">
        <w:rPr>
          <w:lang w:val="en-CA"/>
        </w:rPr>
        <w:t xml:space="preserve">drophobic solutes using </w:t>
      </w:r>
      <w:r w:rsidRPr="00EC5244">
        <w:rPr>
          <w:lang w:val="en-CA"/>
        </w:rPr>
        <w:t>small organic hydrotropes. Although the solubility increases</w:t>
      </w:r>
      <w:r w:rsidR="00AC415A" w:rsidRPr="00EC5244">
        <w:rPr>
          <w:lang w:val="en-CA"/>
        </w:rPr>
        <w:t xml:space="preserve"> can be</w:t>
      </w:r>
      <w:r w:rsidRPr="00EC5244">
        <w:rPr>
          <w:lang w:val="en-CA"/>
        </w:rPr>
        <w:t xml:space="preserve"> 100</w:t>
      </w:r>
      <w:r w:rsidR="00AA5541" w:rsidRPr="00EC5244">
        <w:rPr>
          <w:lang w:val="en-CA"/>
        </w:rPr>
        <w:t>-</w:t>
      </w:r>
      <w:r w:rsidRPr="00EC5244">
        <w:rPr>
          <w:lang w:val="en-CA"/>
        </w:rPr>
        <w:t>fold, we consider the cases in which the solutes are still dilute in the aqueous solution.</w:t>
      </w:r>
      <w:r w:rsidR="00906C34" w:rsidRPr="00EC5244">
        <w:rPr>
          <w:lang w:val="en-CA"/>
        </w:rPr>
        <w:fldChar w:fldCharType="begin" w:fldLock="1"/>
      </w:r>
      <w:r w:rsidR="00906C34"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"ITEM-3",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"mendeley" : { "formattedCitation" : "&lt;sup&gt;8,9,11&lt;/sup&gt;", "plainTextFormattedCitation" : "8,9,11", "previouslyFormattedCitation" : "&lt;sup&gt;8,9,11&lt;/sup&gt;" }, "properties" : { "noteIndex" : 0 }, "schema" : "https://github.com/citation-style-language/schema/raw/master/csl-citation.json" }</w:instrText>
      </w:r>
      <w:r w:rsidR="00906C34" w:rsidRPr="00EC5244">
        <w:rPr>
          <w:lang w:val="en-CA"/>
        </w:rPr>
        <w:fldChar w:fldCharType="separate"/>
      </w:r>
      <w:r w:rsidR="00906C34" w:rsidRPr="00EC5244">
        <w:rPr>
          <w:noProof/>
          <w:vertAlign w:val="superscript"/>
          <w:lang w:val="en-CA"/>
        </w:rPr>
        <w:t>8,9,11</w:t>
      </w:r>
      <w:r w:rsidR="00906C34" w:rsidRPr="00EC5244">
        <w:rPr>
          <w:lang w:val="en-CA"/>
        </w:rPr>
        <w:fldChar w:fldCharType="end"/>
      </w:r>
      <w:r w:rsidRPr="00EC5244">
        <w:rPr>
          <w:lang w:val="en-CA"/>
        </w:rPr>
        <w:t xml:space="preserve"> </w:t>
      </w:r>
      <w:r w:rsidR="00AC415A" w:rsidRPr="00EC5244">
        <w:rPr>
          <w:lang w:val="en-CA"/>
        </w:rPr>
        <w:t xml:space="preserve">And </w:t>
      </w:r>
      <w:r w:rsidRPr="00EC5244">
        <w:rPr>
          <w:lang w:val="en-CA"/>
        </w:rPr>
        <w:t xml:space="preserve">we consider the case in which aqueous </w:t>
      </w:r>
      <w:r w:rsidR="00DF4A2B" w:rsidRPr="00EC5244">
        <w:rPr>
          <w:lang w:val="en-CA"/>
        </w:rPr>
        <w:t xml:space="preserve">hydrotrope solution </w:t>
      </w:r>
      <w:r w:rsidR="009B2004" w:rsidRPr="00EC5244">
        <w:rPr>
          <w:lang w:val="en-CA"/>
        </w:rPr>
        <w:t xml:space="preserve">can still be in </w:t>
      </w:r>
      <w:r w:rsidR="00DF4A2B" w:rsidRPr="00EC5244">
        <w:rPr>
          <w:lang w:val="en-CA"/>
        </w:rPr>
        <w:t>a single phase and tha</w:t>
      </w:r>
      <w:r w:rsidR="00AA5541" w:rsidRPr="00EC5244">
        <w:rPr>
          <w:lang w:val="en-CA"/>
        </w:rPr>
        <w:t>t the presence of a small quantity</w:t>
      </w:r>
      <w:r w:rsidR="009B2004" w:rsidRPr="00EC5244">
        <w:rPr>
          <w:lang w:val="en-CA"/>
        </w:rPr>
        <w:t xml:space="preserve"> of solutes does not affect</w:t>
      </w:r>
      <w:r w:rsidR="00DF4A2B" w:rsidRPr="00EC5244">
        <w:rPr>
          <w:lang w:val="en-CA"/>
        </w:rPr>
        <w:t xml:space="preserve"> its phase behaviour.</w:t>
      </w:r>
      <w:r w:rsidR="00906C34" w:rsidRPr="00EC5244">
        <w:rPr>
          <w:lang w:val="en-CA"/>
        </w:rPr>
        <w:fldChar w:fldCharType="begin" w:fldLock="1"/>
      </w:r>
      <w:r w:rsidR="00A07779"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"mendeley" : { "formattedCitation" : "&lt;sup&gt;27&lt;/sup&gt;", "plainTextFormattedCitation" : "27", "previouslyFormattedCitation" : "&lt;sup&gt;27&lt;/sup&gt;" }, "properties" : { "noteIndex" : 0 }, "schema" : "https://github.com/citation-style-language/schema/raw/master/csl-citation.json" }</w:instrText>
      </w:r>
      <w:r w:rsidR="00906C34" w:rsidRPr="00EC5244">
        <w:rPr>
          <w:lang w:val="en-CA"/>
        </w:rPr>
        <w:fldChar w:fldCharType="separate"/>
      </w:r>
      <w:r w:rsidR="00A07779" w:rsidRPr="00EC5244">
        <w:rPr>
          <w:noProof/>
          <w:vertAlign w:val="superscript"/>
          <w:lang w:val="en-CA"/>
        </w:rPr>
        <w:t>27</w:t>
      </w:r>
      <w:r w:rsidR="00906C34" w:rsidRPr="00EC5244">
        <w:rPr>
          <w:lang w:val="en-CA"/>
        </w:rPr>
        <w:fldChar w:fldCharType="end"/>
      </w:r>
      <w:r w:rsidR="00DF4A2B" w:rsidRPr="00EC5244">
        <w:rPr>
          <w:lang w:val="en-CA"/>
        </w:rPr>
        <w:t xml:space="preserve"> </w:t>
      </w:r>
      <w:r w:rsidR="009B2004" w:rsidRPr="00EC5244">
        <w:rPr>
          <w:lang w:val="en-CA"/>
        </w:rPr>
        <w:t xml:space="preserve">Whether the </w:t>
      </w:r>
      <w:r w:rsidR="00DF4A2B" w:rsidRPr="00EC5244">
        <w:rPr>
          <w:lang w:val="en-CA"/>
        </w:rPr>
        <w:t xml:space="preserve">aqueous hydrotrope solution </w:t>
      </w:r>
      <w:r w:rsidR="009B2004" w:rsidRPr="00EC5244">
        <w:rPr>
          <w:lang w:val="en-CA"/>
        </w:rPr>
        <w:t xml:space="preserve">is in a single phase </w:t>
      </w:r>
      <w:r w:rsidR="00DF4A2B" w:rsidRPr="00EC5244">
        <w:rPr>
          <w:lang w:val="en-CA"/>
        </w:rPr>
        <w:t xml:space="preserve">can be established </w:t>
      </w:r>
      <w:r w:rsidR="009B2004" w:rsidRPr="00EC5244">
        <w:rPr>
          <w:lang w:val="en-CA"/>
        </w:rPr>
        <w:t>by measuring how activities of water and hydrotrope</w:t>
      </w:r>
      <w:r w:rsidR="00F056C1" w:rsidRPr="00EC5244">
        <w:rPr>
          <w:lang w:val="en-CA"/>
        </w:rPr>
        <w:t xml:space="preserve"> </w:t>
      </w:r>
      <w:r w:rsidR="006D3CF7" w:rsidRPr="00EC5244">
        <w:rPr>
          <w:lang w:val="en-CA"/>
        </w:rPr>
        <w:t xml:space="preserve">depends on composition. </w:t>
      </w:r>
    </w:p>
    <w:p w14:paraId="098F1186" w14:textId="1C45AC93" w:rsidR="00B934F1" w:rsidRPr="00EC5244" w:rsidRDefault="00B934F1" w:rsidP="00283FBB">
      <w:pPr>
        <w:pStyle w:val="TAMainText"/>
        <w:ind w:firstLine="0"/>
        <w:rPr>
          <w:lang w:val="en-CA"/>
        </w:rPr>
      </w:pPr>
    </w:p>
    <w:p w14:paraId="37FA4F15" w14:textId="7F545077" w:rsidR="00B934F1" w:rsidRPr="00EC5244" w:rsidRDefault="00C035D6" w:rsidP="00C035D6">
      <w:pPr>
        <w:pStyle w:val="TAMainText"/>
        <w:rPr>
          <w:lang w:val="en-CA"/>
        </w:rPr>
      </w:pPr>
      <w:r w:rsidRPr="00EC5244">
        <w:rPr>
          <w:lang w:val="en-CA"/>
        </w:rPr>
        <w:t>A</w:t>
      </w:r>
      <w:r w:rsidR="00B934F1" w:rsidRPr="00EC5244">
        <w:rPr>
          <w:lang w:val="en-CA"/>
        </w:rPr>
        <w:t>ccording to the Gibbs phase rule, since there are two components (</w:t>
      </w:r>
      <m:oMath>
        <m:r>
          <w:rPr>
            <w:rFonts w:ascii="Cambria Math" w:hAnsi="Cambria Math"/>
            <w:lang w:val="en-CA"/>
          </w:rPr>
          <m:t>C=2</m:t>
        </m:r>
      </m:oMath>
      <w:r w:rsidR="00B934F1" w:rsidRPr="00EC5244">
        <w:rPr>
          <w:lang w:val="en-CA"/>
        </w:rPr>
        <w:t>)</w:t>
      </w:r>
      <w:r w:rsidR="0037267E" w:rsidRPr="00EC5244">
        <w:rPr>
          <w:lang w:val="en-CA"/>
        </w:rPr>
        <w:t xml:space="preserve"> (the solute is at the limit of infinite dilution so does</w:t>
      </w:r>
      <w:r w:rsidR="008D1AF8" w:rsidRPr="00EC5244">
        <w:rPr>
          <w:lang w:val="en-CA"/>
        </w:rPr>
        <w:t xml:space="preserve"> not</w:t>
      </w:r>
      <w:r w:rsidR="0037267E" w:rsidRPr="00EC5244">
        <w:rPr>
          <w:lang w:val="en-CA"/>
        </w:rPr>
        <w:t xml:space="preserve"> count as a component in this context)</w:t>
      </w:r>
      <w:r w:rsidR="00B934F1" w:rsidRPr="00EC5244">
        <w:rPr>
          <w:lang w:val="en-CA"/>
        </w:rPr>
        <w:t xml:space="preserve"> and the solution is in a single phase </w:t>
      </w:r>
      <m:oMath>
        <m:r>
          <w:rPr>
            <w:rFonts w:ascii="Cambria Math" w:hAnsi="Cambria Math"/>
            <w:lang w:val="en-CA"/>
          </w:rPr>
          <m:t>(P=1)</m:t>
        </m:r>
      </m:oMath>
      <w:r w:rsidR="00B934F1" w:rsidRPr="00EC5244">
        <w:rPr>
          <w:lang w:val="en-CA"/>
        </w:rPr>
        <w:t xml:space="preserve">, the degrees of freedom </w:t>
      </w:r>
      <w:r w:rsidRPr="00EC5244">
        <w:rPr>
          <w:lang w:val="en-CA"/>
        </w:rPr>
        <w:t xml:space="preserve">of this system </w:t>
      </w:r>
      <w:r w:rsidR="00B934F1" w:rsidRPr="00EC5244">
        <w:rPr>
          <w:lang w:val="en-CA"/>
        </w:rPr>
        <w:t xml:space="preserve">are </w:t>
      </w:r>
      <m:oMath>
        <m:r>
          <w:rPr>
            <w:rFonts w:ascii="Cambria Math" w:hAnsi="Cambria Math"/>
            <w:lang w:val="en-CA"/>
          </w:rPr>
          <m:t>F=2-1+2=3</m:t>
        </m:r>
      </m:oMath>
      <w:r w:rsidR="00B934F1" w:rsidRPr="00EC5244">
        <w:rPr>
          <w:lang w:val="en-CA"/>
        </w:rPr>
        <w:t xml:space="preserve">. Thus </w:t>
      </w:r>
      <m:oMath>
        <m:r>
          <w:rPr>
            <w:rFonts w:ascii="Cambria Math" w:hAnsi="Cambria Math"/>
            <w:lang w:val="en-CA"/>
          </w:rPr>
          <m:t>T</m:t>
        </m:r>
      </m:oMath>
      <w:r w:rsidR="00B934F1" w:rsidRPr="00EC5244">
        <w:rPr>
          <w:lang w:val="en-CA"/>
        </w:rPr>
        <w:t xml:space="preserve">, </w:t>
      </w:r>
      <m:oMath>
        <m:r>
          <w:rPr>
            <w:rFonts w:ascii="Cambria Math" w:hAnsi="Cambria Math"/>
            <w:lang w:val="en-CA"/>
          </w:rPr>
          <m:t>P</m:t>
        </m:r>
      </m:oMath>
      <w:r w:rsidRPr="00EC5244">
        <w:rPr>
          <w:lang w:val="en-CA"/>
        </w:rPr>
        <w:t>,</w:t>
      </w:r>
      <w:r w:rsidR="00B934F1" w:rsidRPr="00EC5244">
        <w:rPr>
          <w:lang w:val="en-CA"/>
        </w:rPr>
        <w:t xml:space="preserve"> and composition </w:t>
      </w:r>
      <w:r w:rsidR="009B2004" w:rsidRPr="00EC5244">
        <w:rPr>
          <w:lang w:val="en-CA"/>
        </w:rPr>
        <w:t xml:space="preserve">are </w:t>
      </w:r>
      <w:r w:rsidRPr="00EC5244">
        <w:rPr>
          <w:lang w:val="en-CA"/>
        </w:rPr>
        <w:t>independently</w:t>
      </w:r>
      <w:r w:rsidR="009B2004" w:rsidRPr="00EC5244">
        <w:rPr>
          <w:lang w:val="en-CA"/>
        </w:rPr>
        <w:t xml:space="preserve"> changeable</w:t>
      </w:r>
      <w:r w:rsidRPr="00EC5244">
        <w:rPr>
          <w:lang w:val="en-CA"/>
        </w:rPr>
        <w:t>. Consider</w:t>
      </w:r>
      <w:r w:rsidR="00A16D86" w:rsidRPr="00EC5244">
        <w:rPr>
          <w:lang w:val="en-CA"/>
        </w:rPr>
        <w:t xml:space="preserve"> now a</w:t>
      </w:r>
      <w:r w:rsidR="00A16D86" w:rsidRPr="00EC5244">
        <w:t xml:space="preserve"> (locally)</w:t>
      </w:r>
      <w:r w:rsidR="00B934F1" w:rsidRPr="00EC5244">
        <w:rPr>
          <w:lang w:val="en-CA"/>
        </w:rPr>
        <w:t xml:space="preserve"> inhomogeneous solution w</w:t>
      </w:r>
      <w:r w:rsidR="00AA5541" w:rsidRPr="00EC5244">
        <w:rPr>
          <w:lang w:val="en-CA"/>
        </w:rPr>
        <w:t>hich contains a solute molecule</w:t>
      </w:r>
      <w:r w:rsidR="00B934F1" w:rsidRPr="00EC5244">
        <w:rPr>
          <w:lang w:val="en-CA"/>
        </w:rPr>
        <w:t xml:space="preserve"> </w:t>
      </w:r>
      <w:r w:rsidR="00AA5541" w:rsidRPr="00EC5244">
        <w:rPr>
          <w:lang w:val="en-CA"/>
        </w:rPr>
        <w:t xml:space="preserve">whose centre-of-mass is </w:t>
      </w:r>
      <w:r w:rsidRPr="00EC5244">
        <w:rPr>
          <w:lang w:val="en-CA"/>
        </w:rPr>
        <w:t>fixed</w:t>
      </w:r>
      <w:r w:rsidR="009B2004" w:rsidRPr="00EC5244">
        <w:rPr>
          <w:lang w:val="en-CA"/>
        </w:rPr>
        <w:t xml:space="preserve"> in position</w:t>
      </w:r>
      <w:r w:rsidR="00B934F1" w:rsidRPr="00EC5244">
        <w:rPr>
          <w:lang w:val="en-CA"/>
        </w:rPr>
        <w:t>.</w:t>
      </w:r>
      <w:r w:rsidR="00CC30DD" w:rsidRPr="00EC5244">
        <w:rPr>
          <w:lang w:val="en-CA"/>
        </w:rPr>
        <w:fldChar w:fldCharType="begin" w:fldLock="1"/>
      </w:r>
      <w:r w:rsidR="00906C34"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CC30DD" w:rsidRPr="00EC5244">
        <w:rPr>
          <w:lang w:val="en-CA"/>
        </w:rPr>
        <w:fldChar w:fldCharType="separate"/>
      </w:r>
      <w:r w:rsidR="004D1EB5" w:rsidRPr="00EC5244">
        <w:rPr>
          <w:noProof/>
          <w:vertAlign w:val="superscript"/>
          <w:lang w:val="en-CA"/>
        </w:rPr>
        <w:t>10</w:t>
      </w:r>
      <w:r w:rsidR="00CC30DD" w:rsidRPr="00EC5244">
        <w:rPr>
          <w:lang w:val="en-CA"/>
        </w:rPr>
        <w:fldChar w:fldCharType="end"/>
      </w:r>
      <w:r w:rsidR="00B934F1" w:rsidRPr="00EC5244">
        <w:rPr>
          <w:lang w:val="en-CA"/>
        </w:rPr>
        <w:t xml:space="preserve"> The presence of </w:t>
      </w:r>
      <w:r w:rsidRPr="00EC5244">
        <w:rPr>
          <w:lang w:val="en-CA"/>
        </w:rPr>
        <w:t xml:space="preserve">this </w:t>
      </w:r>
      <w:r w:rsidR="009B2004" w:rsidRPr="00EC5244">
        <w:rPr>
          <w:lang w:val="en-CA"/>
        </w:rPr>
        <w:t>external field</w:t>
      </w:r>
      <w:r w:rsidR="00B934F1" w:rsidRPr="00EC5244">
        <w:rPr>
          <w:lang w:val="en-CA"/>
        </w:rPr>
        <w:t xml:space="preserve"> do</w:t>
      </w:r>
      <w:r w:rsidR="009B2004" w:rsidRPr="00EC5244">
        <w:rPr>
          <w:lang w:val="en-CA"/>
        </w:rPr>
        <w:t>es not change the phase rule.</w:t>
      </w:r>
      <w:r w:rsidR="00CC30DD" w:rsidRPr="00EC5244">
        <w:rPr>
          <w:lang w:val="en-CA"/>
        </w:rPr>
        <w:fldChar w:fldCharType="begin" w:fldLock="1"/>
      </w:r>
      <w:r w:rsidR="004D1EB5"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CC30DD" w:rsidRPr="00EC5244">
        <w:rPr>
          <w:lang w:val="en-CA"/>
        </w:rPr>
        <w:fldChar w:fldCharType="separate"/>
      </w:r>
      <w:r w:rsidR="004D1EB5" w:rsidRPr="00EC5244">
        <w:rPr>
          <w:noProof/>
          <w:vertAlign w:val="superscript"/>
          <w:lang w:val="en-CA"/>
        </w:rPr>
        <w:t>10</w:t>
      </w:r>
      <w:r w:rsidR="00CC30DD" w:rsidRPr="00EC5244">
        <w:rPr>
          <w:lang w:val="en-CA"/>
        </w:rPr>
        <w:fldChar w:fldCharType="end"/>
      </w:r>
      <w:r w:rsidR="009B2004" w:rsidRPr="00EC5244">
        <w:rPr>
          <w:lang w:val="en-CA"/>
        </w:rPr>
        <w:t xml:space="preserve"> Under</w:t>
      </w:r>
      <w:r w:rsidR="00B934F1" w:rsidRPr="00EC5244">
        <w:rPr>
          <w:lang w:val="en-CA"/>
        </w:rPr>
        <w:t xml:space="preserve"> a constant temperature, </w:t>
      </w:r>
      <w:r w:rsidRPr="00EC5244">
        <w:rPr>
          <w:lang w:val="en-CA"/>
        </w:rPr>
        <w:t xml:space="preserve">both </w:t>
      </w:r>
      <w:r w:rsidR="00B934F1" w:rsidRPr="00EC5244">
        <w:rPr>
          <w:lang w:val="en-CA"/>
        </w:rPr>
        <w:t xml:space="preserve">the composition and pressure are independently variable. Since the composition and pressure dependency of the solute’s chemical potential leads to two </w:t>
      </w:r>
      <w:r w:rsidR="00ED6007" w:rsidRPr="00EC5244">
        <w:rPr>
          <w:lang w:val="en-CA"/>
        </w:rPr>
        <w:t>KB integrals, this system leads to an independent determination of solute-water and solute-hydrotrope KB integrals.</w:t>
      </w:r>
      <w:r w:rsidR="00CC30DD" w:rsidRPr="00EC5244">
        <w:rPr>
          <w:lang w:val="en-CA"/>
        </w:rPr>
        <w:fldChar w:fldCharType="begin" w:fldLock="1"/>
      </w:r>
      <w:r w:rsidR="00A07779"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"mendeley" : { "formattedCitation" : "&lt;sup&gt;27&lt;/sup&gt;", "plainTextFormattedCitation" : "27", "previouslyFormattedCitation" : "&lt;sup&gt;27&lt;/sup&gt;" }, "properties" : { "noteIndex" : 0 }, "schema" : "https://github.com/citation-style-language/schema/raw/master/csl-citation.json" }</w:instrText>
      </w:r>
      <w:r w:rsidR="00CC30DD" w:rsidRPr="00EC5244">
        <w:rPr>
          <w:lang w:val="en-CA"/>
        </w:rPr>
        <w:fldChar w:fldCharType="separate"/>
      </w:r>
      <w:r w:rsidR="00A07779" w:rsidRPr="00EC5244">
        <w:rPr>
          <w:noProof/>
          <w:vertAlign w:val="superscript"/>
          <w:lang w:val="en-CA"/>
        </w:rPr>
        <w:t>27</w:t>
      </w:r>
      <w:r w:rsidR="00CC30DD" w:rsidRPr="00EC5244">
        <w:rPr>
          <w:lang w:val="en-CA"/>
        </w:rPr>
        <w:fldChar w:fldCharType="end"/>
      </w:r>
      <w:r w:rsidR="00ED6007" w:rsidRPr="00EC5244">
        <w:rPr>
          <w:lang w:val="en-CA"/>
        </w:rPr>
        <w:t xml:space="preserve"> </w:t>
      </w:r>
    </w:p>
    <w:p w14:paraId="68B0E876" w14:textId="76272EA6" w:rsidR="00C035D6" w:rsidRPr="00EC5244" w:rsidRDefault="00C035D6" w:rsidP="00C035D6">
      <w:pPr>
        <w:pStyle w:val="TAMainText"/>
        <w:rPr>
          <w:lang w:val="en-CA"/>
        </w:rPr>
      </w:pPr>
    </w:p>
    <w:p w14:paraId="583584BF" w14:textId="5ED8689E" w:rsidR="00C035D6" w:rsidRPr="00EC5244" w:rsidRDefault="00C035D6" w:rsidP="00C035D6">
      <w:pPr>
        <w:pStyle w:val="TAMainText"/>
        <w:rPr>
          <w:lang w:val="en-CA"/>
        </w:rPr>
      </w:pPr>
      <w:r w:rsidRPr="00EC5244">
        <w:rPr>
          <w:lang w:val="en-CA"/>
        </w:rPr>
        <w:t xml:space="preserve">Thus the solute-water and solute-hydrotrope KB integrals, denoted respectively as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oMath>
      <w:r w:rsidRPr="00EC5244">
        <w:rPr>
          <w:lang w:val="en-CA"/>
        </w:rPr>
        <w:t xml:space="preserve"> and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Pr="00EC5244">
        <w:rPr>
          <w:lang w:val="en-CA"/>
        </w:rPr>
        <w:t>, can be determined</w:t>
      </w:r>
      <w:r w:rsidR="009B2004" w:rsidRPr="00EC5244">
        <w:rPr>
          <w:lang w:val="en-CA"/>
        </w:rPr>
        <w:t xml:space="preserve"> independently</w:t>
      </w:r>
      <w:r w:rsidRPr="00EC5244">
        <w:rPr>
          <w:lang w:val="en-CA"/>
        </w:rPr>
        <w:t>.</w:t>
      </w:r>
      <w:r w:rsidR="00CC30DD" w:rsidRPr="00EC5244">
        <w:rPr>
          <w:lang w:val="en-CA"/>
        </w:rPr>
        <w:fldChar w:fldCharType="begin" w:fldLock="1"/>
      </w:r>
      <w:r w:rsidR="004D1EB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"mendeley" : { "formattedCitation" : "&lt;sup&gt;8\u201311&lt;/sup&gt;", "plainTextFormattedCitation" : "8\u201311", "previouslyFormattedCitation" : "&lt;sup&gt;8\u201311&lt;/sup&gt;" }, "properties" : { "noteIndex" : 0 }, "schema" : "https://github.com/citation-style-language/schema/raw/master/csl-citation.json" }</w:instrText>
      </w:r>
      <w:r w:rsidR="00CC30DD" w:rsidRPr="00EC5244">
        <w:rPr>
          <w:lang w:val="en-CA"/>
        </w:rPr>
        <w:fldChar w:fldCharType="separate"/>
      </w:r>
      <w:r w:rsidR="004D1EB5" w:rsidRPr="00EC5244">
        <w:rPr>
          <w:noProof/>
          <w:vertAlign w:val="superscript"/>
          <w:lang w:val="en-CA"/>
        </w:rPr>
        <w:t>8–11</w:t>
      </w:r>
      <w:r w:rsidR="00CC30DD" w:rsidRPr="00EC5244">
        <w:rPr>
          <w:lang w:val="en-CA"/>
        </w:rPr>
        <w:fldChar w:fldCharType="end"/>
      </w:r>
      <w:r w:rsidRPr="00EC5244">
        <w:rPr>
          <w:lang w:val="en-CA"/>
        </w:rPr>
        <w:t xml:space="preserve"> This, together with the KB integrals for hydrotrope-water and hydrotrope-hydrotrope</w:t>
      </w:r>
      <w:r w:rsidR="00102DCF" w:rsidRPr="00EC5244">
        <w:rPr>
          <w:lang w:val="en-CA"/>
        </w:rPr>
        <w:t xml:space="preserve"> </w:t>
      </w:r>
      <w:r w:rsidRPr="00EC5244">
        <w:rPr>
          <w:lang w:val="en-CA"/>
        </w:rPr>
        <w:t xml:space="preserve">interactions,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21</m:t>
            </m:r>
          </m:sub>
        </m:sSub>
      </m:oMath>
      <w:r w:rsidRPr="00EC5244">
        <w:rPr>
          <w:lang w:val="en-CA"/>
        </w:rPr>
        <w:t xml:space="preserve"> and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009B2004" w:rsidRPr="00EC5244">
        <w:rPr>
          <w:lang w:val="en-CA"/>
        </w:rPr>
        <w:t>,</w:t>
      </w:r>
      <w:r w:rsidR="00962F71" w:rsidRPr="00EC5244">
        <w:rPr>
          <w:lang w:val="en-CA"/>
        </w:rPr>
        <w:t xml:space="preserve"> determinable from the bulk solution thermodynamics, gives the following </w:t>
      </w:r>
      <w:r w:rsidR="00656FD1" w:rsidRPr="00EC5244">
        <w:rPr>
          <w:lang w:val="en-CA"/>
        </w:rPr>
        <w:t>hydrotrope concentration (</w:t>
      </w:r>
      <m:oMath>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oMath>
      <w:r w:rsidR="00656FD1" w:rsidRPr="00EC5244">
        <w:rPr>
          <w:lang w:val="en-CA"/>
        </w:rPr>
        <w:t>) dependence of the solvation free energy of the solute molecule (</w:t>
      </w:r>
      <m:oMath>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oMath>
      <w:r w:rsidR="00656FD1" w:rsidRPr="00EC5244">
        <w:rPr>
          <w:lang w:val="en-CA"/>
        </w:rPr>
        <w:t>):</w:t>
      </w:r>
      <w:r w:rsidR="00CC30DD" w:rsidRPr="00EC5244">
        <w:rPr>
          <w:lang w:val="en-CA"/>
        </w:rPr>
        <w:t xml:space="preserve"> </w:t>
      </w:r>
      <w:r w:rsidR="00CC30DD" w:rsidRPr="00EC5244">
        <w:rPr>
          <w:lang w:val="en-CA"/>
        </w:rPr>
        <w:fldChar w:fldCharType="begin" w:fldLock="1"/>
      </w:r>
      <w:r w:rsidR="004D1EB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"mendeley" : { "formattedCitation" : "&lt;sup&gt;8\u201311&lt;/sup&gt;", "plainTextFormattedCitation" : "8\u201311", "previouslyFormattedCitation" : "&lt;sup&gt;8\u201311&lt;/sup&gt;" }, "properties" : { "noteIndex" : 0 }, "schema" : "https://github.com/citation-style-language/schema/raw/master/csl-citation.json" }</w:instrText>
      </w:r>
      <w:r w:rsidR="00CC30DD" w:rsidRPr="00EC5244">
        <w:rPr>
          <w:lang w:val="en-CA"/>
        </w:rPr>
        <w:fldChar w:fldCharType="separate"/>
      </w:r>
      <w:r w:rsidR="004D1EB5" w:rsidRPr="00EC5244">
        <w:rPr>
          <w:noProof/>
          <w:vertAlign w:val="superscript"/>
          <w:lang w:val="en-CA"/>
        </w:rPr>
        <w:t>8–11</w:t>
      </w:r>
      <w:r w:rsidR="00CC30DD" w:rsidRPr="00EC5244">
        <w:rPr>
          <w:lang w:val="en-CA"/>
        </w:rPr>
        <w:fldChar w:fldCharType="end"/>
      </w:r>
      <w:r w:rsidR="00656FD1" w:rsidRPr="00EC5244">
        <w:rPr>
          <w:lang w:val="en-CA"/>
        </w:rPr>
        <w:t xml:space="preserve"> </w:t>
      </w:r>
    </w:p>
    <w:p w14:paraId="50987604" w14:textId="520064F7" w:rsidR="00656FD1" w:rsidRPr="00EC5244" w:rsidRDefault="00656FD1" w:rsidP="00656FD1">
      <w:pPr>
        <w:pStyle w:val="TAMainText"/>
        <w:rPr>
          <w:bCs/>
          <w:lang w:val="en-GB"/>
        </w:rPr>
      </w:pPr>
      <m:oMath>
        <m:r>
          <w:rPr>
            <w:rFonts w:ascii="Cambria Math" w:hAnsi="Cambria Math"/>
            <w:lang w:val="en-GB"/>
          </w:rPr>
          <m:t>-</m:t>
        </m:r>
        <m:f>
          <m:fPr>
            <m:ctrlPr>
              <w:rPr>
                <w:rFonts w:ascii="Cambria Math" w:hAnsi="Cambria Math"/>
                <w:bCs/>
                <w:i/>
                <w:lang w:val="en-GB"/>
              </w:rPr>
            </m:ctrlPr>
          </m:fPr>
          <m:num>
            <m:r>
              <w:rPr>
                <w:rFonts w:ascii="Cambria Math" w:hAnsi="Cambria Math"/>
                <w:lang w:val="en-GB"/>
              </w:rPr>
              <m:t>1</m:t>
            </m:r>
          </m:num>
          <m:den>
            <m:r>
              <w:rPr>
                <w:rFonts w:ascii="Cambria Math" w:hAnsi="Cambria Math"/>
                <w:lang w:val="en-GB"/>
              </w:rPr>
              <m:t>RT</m:t>
            </m:r>
          </m:den>
        </m:f>
        <m:sSub>
          <m:sSubPr>
            <m:ctrlPr>
              <w:rPr>
                <w:rFonts w:ascii="Cambria Math" w:hAnsi="Cambria Math"/>
                <w:bCs/>
                <w:lang w:val="en-GB"/>
              </w:rPr>
            </m:ctrlPr>
          </m:sSubPr>
          <m:e>
            <m:d>
              <m:dPr>
                <m:ctrlPr>
                  <w:rPr>
                    <w:rFonts w:ascii="Cambria Math" w:hAnsi="Cambria Math"/>
                    <w:bCs/>
                    <w:lang w:val="en-GB"/>
                  </w:rPr>
                </m:ctrlPr>
              </m:dPr>
              <m:e>
                <m:f>
                  <m:fPr>
                    <m:ctrlPr>
                      <w:rPr>
                        <w:rFonts w:ascii="Cambria Math" w:hAnsi="Cambria Math"/>
                        <w:bCs/>
                        <w:lang w:val="en-GB"/>
                      </w:rPr>
                    </m:ctrlPr>
                  </m:fPr>
                  <m:num>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r>
                      <w:rPr>
                        <w:rFonts w:ascii="Cambria Math" w:hAnsi="Cambria Math"/>
                        <w:lang w:val="en-GB"/>
                      </w:rPr>
                      <m:t xml:space="preserve"> </m:t>
                    </m:r>
                    <m:r>
                      <m:rPr>
                        <m:sty m:val="p"/>
                      </m:rPr>
                      <w:rPr>
                        <w:rFonts w:ascii="Cambria Math" w:hAnsi="Cambria Math"/>
                        <w:lang w:val="en-GB"/>
                      </w:rPr>
                      <m:t xml:space="preserve"> </m:t>
                    </m:r>
                  </m:num>
                  <m:den>
                    <m:r>
                      <w:rPr>
                        <w:rFonts w:ascii="Cambria Math" w:hAnsi="Cambria Math"/>
                        <w:lang w:val="en-GB"/>
                      </w:rPr>
                      <m:t>∂</m:t>
                    </m:r>
                    <m:sSub>
                      <m:sSubPr>
                        <m:ctrlPr>
                          <w:rPr>
                            <w:rFonts w:ascii="Cambria Math" w:hAnsi="Cambria Math"/>
                            <w:bCs/>
                            <w:lang w:val="en-GB"/>
                          </w:rPr>
                        </m:ctrlPr>
                      </m:sSubPr>
                      <m:e>
                        <m:r>
                          <w:rPr>
                            <w:rFonts w:ascii="Cambria Math" w:hAnsi="Cambria Math"/>
                            <w:lang w:val="en-GB"/>
                          </w:rPr>
                          <m:t>c</m:t>
                        </m:r>
                      </m:e>
                      <m:sub>
                        <m:r>
                          <m:rPr>
                            <m:sty m:val="p"/>
                          </m:rPr>
                          <w:rPr>
                            <w:rFonts w:ascii="Cambria Math" w:hAnsi="Cambria Math"/>
                            <w:lang w:val="en-GB"/>
                          </w:rPr>
                          <m:t>2</m:t>
                        </m:r>
                      </m:sub>
                    </m:sSub>
                  </m:den>
                </m:f>
              </m:e>
            </m:d>
          </m:e>
          <m:sub>
            <m:r>
              <w:rPr>
                <w:rFonts w:ascii="Cambria Math" w:hAnsi="Cambria Math"/>
                <w:lang w:val="en-GB"/>
              </w:rPr>
              <m:t>T</m:t>
            </m:r>
            <m:r>
              <m:rPr>
                <m:sty m:val="p"/>
              </m:rPr>
              <w:rPr>
                <w:rFonts w:ascii="Cambria Math" w:hAnsi="Cambria Math"/>
                <w:lang w:val="en-GB"/>
              </w:rPr>
              <m:t>,</m:t>
            </m:r>
            <m:r>
              <w:rPr>
                <w:rFonts w:ascii="Cambria Math" w:hAnsi="Cambria Math"/>
                <w:lang w:val="en-GB"/>
              </w:rPr>
              <m:t>P</m:t>
            </m:r>
            <m:sSub>
              <m:sSubPr>
                <m:ctrlPr>
                  <w:rPr>
                    <w:rFonts w:ascii="Cambria Math" w:hAnsi="Cambria Math"/>
                    <w:bCs/>
                    <w:lang w:val="en-GB"/>
                  </w:rPr>
                </m:ctrlPr>
              </m:sSubPr>
              <m:e>
                <m:r>
                  <m:rPr>
                    <m:sty m:val="p"/>
                  </m:rPr>
                  <w:rPr>
                    <w:rFonts w:ascii="Cambria Math" w:hAnsi="Cambria Math"/>
                    <w:lang w:val="en-GB"/>
                  </w:rPr>
                  <m:t>,</m:t>
                </m:r>
                <m:r>
                  <w:rPr>
                    <w:rFonts w:ascii="Cambria Math" w:hAnsi="Cambria Math"/>
                    <w:lang w:val="en-GB"/>
                  </w:rPr>
                  <m:t>c</m:t>
                </m:r>
              </m:e>
              <m:sub>
                <m:r>
                  <m:rPr>
                    <m:sty m:val="p"/>
                  </m:rPr>
                  <w:rPr>
                    <w:rFonts w:ascii="Cambria Math" w:hAnsi="Cambria Math"/>
                    <w:lang w:val="en-GB"/>
                  </w:rPr>
                  <m:t>u</m:t>
                </m:r>
              </m:sub>
            </m:sSub>
            <m:r>
              <w:rPr>
                <w:rFonts w:ascii="Cambria Math" w:hAnsi="Cambria Math"/>
                <w:lang w:val="en-GB"/>
              </w:rPr>
              <m:t>→0</m:t>
            </m:r>
          </m:sub>
        </m:sSub>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bCs/>
                    <w:lang w:val="en-GB"/>
                  </w:rPr>
                </m:ctrlPr>
              </m:sSubPr>
              <m:e>
                <m:r>
                  <w:rPr>
                    <w:rFonts w:ascii="Cambria Math" w:hAnsi="Cambria Math"/>
                    <w:lang w:val="en-GB"/>
                  </w:rPr>
                  <m:t>G</m:t>
                </m:r>
              </m:e>
              <m:sub>
                <m:r>
                  <m:rPr>
                    <m:sty m:val="p"/>
                  </m:rPr>
                  <w:rPr>
                    <w:rFonts w:ascii="Cambria Math" w:hAnsi="Cambria Math"/>
                    <w:lang w:val="en-GB"/>
                  </w:rPr>
                  <m:t>u2</m:t>
                </m:r>
              </m:sub>
            </m:sSub>
            <m:r>
              <m:rPr>
                <m:sty m:val="p"/>
              </m:rPr>
              <w:rPr>
                <w:rFonts w:ascii="Cambria Math" w:hAnsi="Cambria Math"/>
                <w:lang w:val="en-GB"/>
              </w:rPr>
              <m:t>-</m:t>
            </m:r>
            <m:sSub>
              <m:sSubPr>
                <m:ctrlPr>
                  <w:rPr>
                    <w:rFonts w:ascii="Cambria Math" w:hAnsi="Cambria Math"/>
                    <w:bCs/>
                    <w:lang w:val="en-GB"/>
                  </w:rPr>
                </m:ctrlPr>
              </m:sSubPr>
              <m:e>
                <m:r>
                  <w:rPr>
                    <w:rFonts w:ascii="Cambria Math" w:hAnsi="Cambria Math"/>
                    <w:lang w:val="en-GB"/>
                  </w:rPr>
                  <m:t>G</m:t>
                </m:r>
              </m:e>
              <m:sub>
                <m:r>
                  <m:rPr>
                    <m:sty m:val="p"/>
                  </m:rPr>
                  <w:rPr>
                    <w:rFonts w:ascii="Cambria Math" w:hAnsi="Cambria Math"/>
                    <w:lang w:val="en-GB"/>
                  </w:rPr>
                  <m:t>u1</m:t>
                </m:r>
              </m:sub>
            </m:sSub>
            <m:ctrlPr>
              <w:rPr>
                <w:rFonts w:ascii="Cambria Math" w:hAnsi="Cambria Math"/>
                <w:bCs/>
                <w:i/>
                <w:lang w:val="en-GB"/>
              </w:rPr>
            </m:ctrlPr>
          </m:num>
          <m:den>
            <m:r>
              <m:rPr>
                <m:sty m:val="p"/>
              </m:rPr>
              <w:rPr>
                <w:rFonts w:ascii="Cambria Math" w:hAnsi="Cambria Math"/>
                <w:lang w:val="en-GB"/>
              </w:rPr>
              <m:t>1+</m:t>
            </m:r>
            <m:sSub>
              <m:sSubPr>
                <m:ctrlPr>
                  <w:rPr>
                    <w:rFonts w:ascii="Cambria Math" w:hAnsi="Cambria Math"/>
                    <w:lang w:val="en-GB"/>
                  </w:rPr>
                </m:ctrlPr>
              </m:sSubPr>
              <m:e>
                <m:r>
                  <w:rPr>
                    <w:rFonts w:ascii="Cambria Math" w:hAnsi="Cambria Math"/>
                    <w:lang w:val="en-GB"/>
                  </w:rPr>
                  <m:t>c</m:t>
                </m:r>
              </m:e>
              <m:sub>
                <m:r>
                  <m:rPr>
                    <m:sty m:val="p"/>
                  </m:rPr>
                  <w:rPr>
                    <w:rFonts w:ascii="Cambria Math" w:hAnsi="Cambria Math"/>
                    <w:lang w:val="en-GB"/>
                  </w:rPr>
                  <m:t>2</m:t>
                </m:r>
              </m:sub>
            </m:sSub>
            <m:d>
              <m:dPr>
                <m:ctrlPr>
                  <w:rPr>
                    <w:rFonts w:ascii="Cambria Math" w:hAnsi="Cambria Math"/>
                    <w:bCs/>
                    <w:lang w:val="en-GB"/>
                  </w:rPr>
                </m:ctrlPr>
              </m:dPr>
              <m:e>
                <m:sSub>
                  <m:sSubPr>
                    <m:ctrlPr>
                      <w:rPr>
                        <w:rFonts w:ascii="Cambria Math" w:hAnsi="Cambria Math"/>
                        <w:bCs/>
                        <w:lang w:val="en-GB"/>
                      </w:rPr>
                    </m:ctrlPr>
                  </m:sSubPr>
                  <m:e>
                    <m:r>
                      <w:rPr>
                        <w:rFonts w:ascii="Cambria Math" w:hAnsi="Cambria Math"/>
                        <w:lang w:val="en-GB"/>
                      </w:rPr>
                      <m:t>G</m:t>
                    </m:r>
                  </m:e>
                  <m:sub>
                    <m:r>
                      <m:rPr>
                        <m:sty m:val="p"/>
                      </m:rPr>
                      <w:rPr>
                        <w:rFonts w:ascii="Cambria Math" w:hAnsi="Cambria Math"/>
                        <w:lang w:val="en-GB"/>
                      </w:rPr>
                      <m:t>22</m:t>
                    </m:r>
                  </m:sub>
                </m:sSub>
                <m:r>
                  <m:rPr>
                    <m:sty m:val="p"/>
                  </m:rPr>
                  <w:rPr>
                    <w:rFonts w:ascii="Cambria Math" w:hAnsi="Cambria Math"/>
                    <w:lang w:val="en-GB"/>
                  </w:rPr>
                  <m:t>-</m:t>
                </m:r>
                <m:sSub>
                  <m:sSubPr>
                    <m:ctrlPr>
                      <w:rPr>
                        <w:rFonts w:ascii="Cambria Math" w:hAnsi="Cambria Math"/>
                        <w:bCs/>
                        <w:lang w:val="en-GB"/>
                      </w:rPr>
                    </m:ctrlPr>
                  </m:sSubPr>
                  <m:e>
                    <m:r>
                      <w:rPr>
                        <w:rFonts w:ascii="Cambria Math" w:hAnsi="Cambria Math"/>
                        <w:lang w:val="en-GB"/>
                      </w:rPr>
                      <m:t>G</m:t>
                    </m:r>
                  </m:e>
                  <m:sub>
                    <m:r>
                      <m:rPr>
                        <m:sty m:val="p"/>
                      </m:rPr>
                      <w:rPr>
                        <w:rFonts w:ascii="Cambria Math" w:hAnsi="Cambria Math"/>
                        <w:lang w:val="en-GB"/>
                      </w:rPr>
                      <m:t>21</m:t>
                    </m:r>
                  </m:sub>
                </m:sSub>
              </m:e>
            </m:d>
          </m:den>
        </m:f>
        <m:r>
          <w:rPr>
            <w:rFonts w:ascii="Cambria Math" w:hAnsi="Cambria Math"/>
            <w:lang w:val="en-GB"/>
          </w:rPr>
          <m:t xml:space="preserve"> </m:t>
        </m:r>
      </m:oMath>
      <w:r w:rsidRPr="00EC5244">
        <w:rPr>
          <w:bCs/>
          <w:lang w:val="en-GB"/>
        </w:rPr>
        <w:tab/>
      </w:r>
      <w:r w:rsidRPr="00EC5244">
        <w:rPr>
          <w:bCs/>
          <w:lang w:val="en-GB"/>
        </w:rPr>
        <w:tab/>
      </w:r>
      <w:r w:rsidRPr="00EC5244">
        <w:rPr>
          <w:bCs/>
          <w:lang w:val="en-GB"/>
        </w:rPr>
        <w:tab/>
      </w:r>
      <w:r w:rsidRPr="00EC5244">
        <w:rPr>
          <w:bCs/>
          <w:lang w:val="en-GB"/>
        </w:rPr>
        <w:tab/>
      </w:r>
      <w:r w:rsidRPr="00EC5244">
        <w:rPr>
          <w:bCs/>
          <w:lang w:val="en-GB"/>
        </w:rPr>
        <w:tab/>
      </w:r>
      <w:r w:rsidRPr="00EC5244">
        <w:rPr>
          <w:bCs/>
          <w:lang w:val="en-GB"/>
        </w:rPr>
        <w:tab/>
      </w:r>
      <w:r w:rsidRPr="00EC5244">
        <w:rPr>
          <w:bCs/>
          <w:lang w:val="en-GB"/>
        </w:rPr>
        <w:tab/>
        <w:t>(1)</w:t>
      </w:r>
    </w:p>
    <w:p w14:paraId="329D946C" w14:textId="77777777" w:rsidR="00656FD1" w:rsidRPr="00EC5244" w:rsidRDefault="00656FD1" w:rsidP="00656FD1">
      <w:pPr>
        <w:pStyle w:val="TAMainText"/>
        <w:ind w:firstLine="0"/>
        <w:rPr>
          <w:lang w:val="en-CA"/>
        </w:rPr>
      </w:pPr>
      <w:r w:rsidRPr="00EC5244">
        <w:rPr>
          <w:lang w:val="en-CA"/>
        </w:rPr>
        <w:t xml:space="preserve">Eq. (1) has revealed the following driving forces at work in hydrotropy: </w:t>
      </w:r>
    </w:p>
    <w:p w14:paraId="59355940" w14:textId="0DE94D92" w:rsidR="00656FD1" w:rsidRPr="00EC5244" w:rsidRDefault="00656FD1" w:rsidP="00BF48EE">
      <w:pPr>
        <w:pStyle w:val="TAMainText"/>
        <w:numPr>
          <w:ilvl w:val="0"/>
          <w:numId w:val="4"/>
        </w:numPr>
        <w:rPr>
          <w:lang w:val="en-CA"/>
        </w:rPr>
      </w:pPr>
      <w:r w:rsidRPr="00EC5244">
        <w:rPr>
          <w:lang w:val="en-CA"/>
        </w:rPr>
        <w:t>A strong preferential solute-hydrotrope interaction compared to solute</w:t>
      </w:r>
      <w:r w:rsidR="00A16D86" w:rsidRPr="00EC5244">
        <w:rPr>
          <w:lang w:val="en-CA"/>
        </w:rPr>
        <w:t>-</w:t>
      </w:r>
      <w:r w:rsidRPr="00EC5244">
        <w:rPr>
          <w:lang w:val="en-CA"/>
        </w:rPr>
        <w:t xml:space="preserve">water, i.e., a large positive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21</m:t>
            </m:r>
          </m:sub>
        </m:sSub>
      </m:oMath>
      <w:r w:rsidRPr="00EC5244">
        <w:rPr>
          <w:lang w:val="en-CA"/>
        </w:rPr>
        <w:t xml:space="preserve"> is the major driving force for solubilization</w:t>
      </w:r>
      <w:r w:rsidR="00CC30DD" w:rsidRPr="00EC5244">
        <w:rPr>
          <w:lang w:val="en-CA"/>
        </w:rPr>
        <w:t>.</w:t>
      </w:r>
      <w:r w:rsidR="00CC30DD" w:rsidRPr="00EC5244">
        <w:rPr>
          <w:lang w:val="en-CA"/>
        </w:rPr>
        <w:fldChar w:fldCharType="begin" w:fldLock="1"/>
      </w:r>
      <w:r w:rsidR="004D1EB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"mendeley" : { "formattedCitation" : "&lt;sup&gt;8\u201311&lt;/sup&gt;", "plainTextFormattedCitation" : "8\u201311", "previouslyFormattedCitation" : "&lt;sup&gt;8\u201311&lt;/sup&gt;" }, "properties" : { "noteIndex" : 0 }, "schema" : "https://github.com/citation-style-language/schema/raw/master/csl-citation.json" }</w:instrText>
      </w:r>
      <w:r w:rsidR="00CC30DD" w:rsidRPr="00EC5244">
        <w:rPr>
          <w:lang w:val="en-CA"/>
        </w:rPr>
        <w:fldChar w:fldCharType="separate"/>
      </w:r>
      <w:r w:rsidR="004D1EB5" w:rsidRPr="00EC5244">
        <w:rPr>
          <w:noProof/>
          <w:vertAlign w:val="superscript"/>
          <w:lang w:val="en-CA"/>
        </w:rPr>
        <w:t>8–11</w:t>
      </w:r>
      <w:r w:rsidR="00CC30DD" w:rsidRPr="00EC5244">
        <w:rPr>
          <w:lang w:val="en-CA"/>
        </w:rPr>
        <w:fldChar w:fldCharType="end"/>
      </w:r>
    </w:p>
    <w:p w14:paraId="56D4EF1A" w14:textId="49F7374A" w:rsidR="00656FD1" w:rsidRPr="00EC5244" w:rsidRDefault="00656FD1" w:rsidP="00BF48EE">
      <w:pPr>
        <w:pStyle w:val="TAMainText"/>
        <w:numPr>
          <w:ilvl w:val="0"/>
          <w:numId w:val="4"/>
        </w:numPr>
        <w:rPr>
          <w:lang w:val="en-CA"/>
        </w:rPr>
      </w:pPr>
      <w:r w:rsidRPr="00EC5244">
        <w:rPr>
          <w:lang w:val="en-CA"/>
        </w:rPr>
        <w:t xml:space="preserve">A minor reduction in solubilization comes from the a large positive </w:t>
      </w:r>
      <m:oMath>
        <m:sSub>
          <m:sSubPr>
            <m:ctrlPr>
              <w:rPr>
                <w:rFonts w:ascii="Cambria Math" w:hAnsi="Cambria Math"/>
                <w:bCs/>
                <w:lang w:val="en-GB"/>
              </w:rPr>
            </m:ctrlPr>
          </m:sSubPr>
          <m:e>
            <m:r>
              <w:rPr>
                <w:rFonts w:ascii="Cambria Math" w:hAnsi="Cambria Math"/>
                <w:lang w:val="en-GB"/>
              </w:rPr>
              <m:t>G</m:t>
            </m:r>
          </m:e>
          <m:sub>
            <m:r>
              <m:rPr>
                <m:sty m:val="p"/>
              </m:rPr>
              <w:rPr>
                <w:rFonts w:ascii="Cambria Math" w:hAnsi="Cambria Math"/>
                <w:lang w:val="en-GB"/>
              </w:rPr>
              <m:t>22</m:t>
            </m:r>
          </m:sub>
        </m:sSub>
        <m:r>
          <m:rPr>
            <m:sty m:val="p"/>
          </m:rPr>
          <w:rPr>
            <w:rFonts w:ascii="Cambria Math" w:hAnsi="Cambria Math"/>
            <w:lang w:val="en-GB"/>
          </w:rPr>
          <m:t>-</m:t>
        </m:r>
        <m:sSub>
          <m:sSubPr>
            <m:ctrlPr>
              <w:rPr>
                <w:rFonts w:ascii="Cambria Math" w:hAnsi="Cambria Math"/>
                <w:bCs/>
                <w:lang w:val="en-GB"/>
              </w:rPr>
            </m:ctrlPr>
          </m:sSubPr>
          <m:e>
            <m:r>
              <w:rPr>
                <w:rFonts w:ascii="Cambria Math" w:hAnsi="Cambria Math"/>
                <w:lang w:val="en-GB"/>
              </w:rPr>
              <m:t>G</m:t>
            </m:r>
          </m:e>
          <m:sub>
            <m:r>
              <m:rPr>
                <m:sty m:val="p"/>
              </m:rPr>
              <w:rPr>
                <w:rFonts w:ascii="Cambria Math" w:hAnsi="Cambria Math"/>
                <w:lang w:val="en-GB"/>
              </w:rPr>
              <m:t>21</m:t>
            </m:r>
          </m:sub>
        </m:sSub>
      </m:oMath>
      <w:r w:rsidRPr="00EC5244">
        <w:rPr>
          <w:bCs/>
          <w:lang w:val="en-GB"/>
        </w:rPr>
        <w:t>, which represents a bulk-phase self-association of the hydrotropes.</w:t>
      </w:r>
      <w:r w:rsidR="00CC30DD" w:rsidRPr="00EC5244">
        <w:rPr>
          <w:lang w:val="en-CA"/>
        </w:rPr>
        <w:t xml:space="preserve"> </w:t>
      </w:r>
      <w:r w:rsidR="00CC30DD" w:rsidRPr="00EC5244">
        <w:rPr>
          <w:lang w:val="en-CA"/>
        </w:rPr>
        <w:fldChar w:fldCharType="begin" w:fldLock="1"/>
      </w:r>
      <w:r w:rsidR="004D1EB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"mendeley" : { "formattedCitation" : "&lt;sup&gt;8\u201311&lt;/sup&gt;", "plainTextFormattedCitation" : "8\u201311", "previouslyFormattedCitation" : "&lt;sup&gt;8\u201311&lt;/sup&gt;" }, "properties" : { "noteIndex" : 0 }, "schema" : "https://github.com/citation-style-language/schema/raw/master/csl-citation.json" }</w:instrText>
      </w:r>
      <w:r w:rsidR="00CC30DD" w:rsidRPr="00EC5244">
        <w:rPr>
          <w:lang w:val="en-CA"/>
        </w:rPr>
        <w:fldChar w:fldCharType="separate"/>
      </w:r>
      <w:r w:rsidR="004D1EB5" w:rsidRPr="00EC5244">
        <w:rPr>
          <w:noProof/>
          <w:vertAlign w:val="superscript"/>
          <w:lang w:val="en-CA"/>
        </w:rPr>
        <w:t>8–11</w:t>
      </w:r>
      <w:r w:rsidR="00CC30DD" w:rsidRPr="00EC5244">
        <w:rPr>
          <w:lang w:val="en-CA"/>
        </w:rPr>
        <w:fldChar w:fldCharType="end"/>
      </w:r>
      <w:r w:rsidRPr="00EC5244">
        <w:rPr>
          <w:bCs/>
          <w:lang w:val="en-GB"/>
        </w:rPr>
        <w:t xml:space="preserve"> </w:t>
      </w:r>
    </w:p>
    <w:p w14:paraId="52134124" w14:textId="6E600F89" w:rsidR="00656FD1" w:rsidRPr="00EC5244" w:rsidRDefault="009B2004" w:rsidP="00656FD1">
      <w:pPr>
        <w:pStyle w:val="TAMainText"/>
        <w:ind w:firstLine="0"/>
        <w:rPr>
          <w:szCs w:val="24"/>
          <w:lang w:val="en-GB" w:eastAsia="ja-JP"/>
        </w:rPr>
      </w:pPr>
      <w:r w:rsidRPr="00EC5244">
        <w:rPr>
          <w:lang w:val="en-CA"/>
        </w:rPr>
        <w:t>In addition, a detailed</w:t>
      </w:r>
      <w:r w:rsidR="00656FD1" w:rsidRPr="00EC5244">
        <w:rPr>
          <w:lang w:val="en-CA"/>
        </w:rPr>
        <w:t xml:space="preserve"> study of </w:t>
      </w:r>
      <w:r w:rsidR="004B47F7" w:rsidRPr="00EC5244">
        <w:rPr>
          <w:lang w:val="en-CA"/>
        </w:rPr>
        <w:t xml:space="preserve">the second order derivative </w:t>
      </w:r>
      <m:oMath>
        <m:sSub>
          <m:sSubPr>
            <m:ctrlPr>
              <w:rPr>
                <w:rFonts w:ascii="Cambria Math" w:hAnsi="Cambria Math" w:cs="Times"/>
                <w:i/>
                <w:szCs w:val="24"/>
                <w:lang w:val="en-GB" w:eastAsia="ja-JP"/>
              </w:rPr>
            </m:ctrlPr>
          </m:sSubPr>
          <m:e>
            <m:sSub>
              <m:sSubPr>
                <m:ctrlPr>
                  <w:rPr>
                    <w:rFonts w:ascii="Cambria Math" w:hAnsi="Cambria Math" w:cs="Times"/>
                    <w:i/>
                    <w:szCs w:val="24"/>
                    <w:lang w:val="en-GB" w:eastAsia="ja-JP"/>
                  </w:rPr>
                </m:ctrlPr>
              </m:sSubPr>
              <m:e>
                <m:r>
                  <w:rPr>
                    <w:rFonts w:ascii="Cambria Math" w:hAnsi="Cambria Math" w:cs="Times"/>
                    <w:szCs w:val="24"/>
                    <w:lang w:val="en-GB" w:eastAsia="ja-JP"/>
                  </w:rPr>
                  <m:t>k</m:t>
                </m:r>
              </m:e>
              <m:sub>
                <m:r>
                  <w:rPr>
                    <w:rFonts w:ascii="Cambria Math" w:hAnsi="Cambria Math" w:cs="Times"/>
                    <w:szCs w:val="24"/>
                    <w:lang w:val="en-GB" w:eastAsia="ja-JP"/>
                  </w:rPr>
                  <m:t>B</m:t>
                </m:r>
              </m:sub>
            </m:sSub>
            <m:r>
              <w:rPr>
                <w:rFonts w:ascii="Cambria Math" w:hAnsi="Cambria Math" w:cs="Times"/>
                <w:szCs w:val="24"/>
                <w:lang w:val="en-GB" w:eastAsia="ja-JP"/>
              </w:rPr>
              <m:t>T</m:t>
            </m:r>
            <m:d>
              <m:dPr>
                <m:ctrlPr>
                  <w:rPr>
                    <w:rFonts w:ascii="Cambria Math" w:hAnsi="Cambria Math" w:cs="Times"/>
                    <w:i/>
                    <w:szCs w:val="24"/>
                    <w:lang w:val="en-GB" w:eastAsia="ja-JP"/>
                  </w:rPr>
                </m:ctrlPr>
              </m:dPr>
              <m:e>
                <m:f>
                  <m:fPr>
                    <m:ctrlPr>
                      <w:rPr>
                        <w:rFonts w:ascii="Cambria Math" w:hAnsi="Cambria Math" w:cs="Times"/>
                        <w:i/>
                        <w:szCs w:val="24"/>
                        <w:lang w:val="en-GB" w:eastAsia="ja-JP"/>
                      </w:rPr>
                    </m:ctrlPr>
                  </m:fPr>
                  <m:num>
                    <m:sSup>
                      <m:sSupPr>
                        <m:ctrlPr>
                          <w:rPr>
                            <w:rFonts w:ascii="Cambria Math" w:hAnsi="Cambria Math" w:cs="Times"/>
                            <w:i/>
                            <w:szCs w:val="24"/>
                            <w:lang w:val="en-GB" w:eastAsia="ja-JP"/>
                          </w:rPr>
                        </m:ctrlPr>
                      </m:sSupPr>
                      <m:e>
                        <m:r>
                          <w:rPr>
                            <w:rFonts w:ascii="Cambria Math" w:hAnsi="Cambria Math" w:cs="Times"/>
                            <w:szCs w:val="24"/>
                            <w:lang w:val="en-GB" w:eastAsia="ja-JP"/>
                          </w:rPr>
                          <m:t>∂</m:t>
                        </m:r>
                      </m:e>
                      <m:sup>
                        <m:r>
                          <w:rPr>
                            <w:rFonts w:ascii="Cambria Math" w:hAnsi="Cambria Math" w:cs="Times"/>
                            <w:szCs w:val="24"/>
                            <w:lang w:val="en-GB" w:eastAsia="ja-JP"/>
                          </w:rPr>
                          <m:t>2</m:t>
                        </m:r>
                      </m:sup>
                    </m:sSup>
                    <m:sSub>
                      <m:sSubPr>
                        <m:ctrlPr>
                          <w:rPr>
                            <w:rFonts w:ascii="Cambria Math" w:hAnsi="Cambria Math" w:cs="Times"/>
                            <w:i/>
                            <w:szCs w:val="24"/>
                            <w:lang w:val="en-GB" w:eastAsia="ja-JP"/>
                          </w:rPr>
                        </m:ctrlPr>
                      </m:sSubPr>
                      <m:e>
                        <m:r>
                          <w:rPr>
                            <w:rFonts w:ascii="Cambria Math" w:hAnsi="Cambria Math" w:cs="Times"/>
                            <w:szCs w:val="24"/>
                            <w:lang w:val="en-GB" w:eastAsia="ja-JP"/>
                          </w:rPr>
                          <m:t>μ</m:t>
                        </m:r>
                      </m:e>
                      <m:sub>
                        <m:r>
                          <w:rPr>
                            <w:rFonts w:ascii="Cambria Math" w:hAnsi="Cambria Math" w:cs="Times"/>
                            <w:szCs w:val="24"/>
                            <w:lang w:val="en-GB" w:eastAsia="ja-JP"/>
                          </w:rPr>
                          <m:t>u</m:t>
                        </m:r>
                      </m:sub>
                    </m:sSub>
                  </m:num>
                  <m:den>
                    <m:r>
                      <w:rPr>
                        <w:rFonts w:ascii="Cambria Math" w:hAnsi="Cambria Math" w:cs="Times"/>
                        <w:szCs w:val="24"/>
                        <w:lang w:val="en-GB" w:eastAsia="ja-JP"/>
                      </w:rPr>
                      <m:t>∂</m:t>
                    </m:r>
                    <m:sSubSup>
                      <m:sSubSupPr>
                        <m:ctrlPr>
                          <w:rPr>
                            <w:rFonts w:ascii="Cambria Math" w:hAnsi="Cambria Math" w:cs="Times"/>
                            <w:i/>
                            <w:szCs w:val="24"/>
                            <w:lang w:val="en-GB" w:eastAsia="ja-JP"/>
                          </w:rPr>
                        </m:ctrlPr>
                      </m:sSubSupPr>
                      <m:e>
                        <m:r>
                          <w:rPr>
                            <w:rFonts w:ascii="Cambria Math" w:hAnsi="Cambria Math" w:cs="Times"/>
                            <w:szCs w:val="24"/>
                            <w:lang w:val="en-GB" w:eastAsia="ja-JP"/>
                          </w:rPr>
                          <m:t>μ</m:t>
                        </m:r>
                      </m:e>
                      <m:sub>
                        <m:r>
                          <w:rPr>
                            <w:rFonts w:ascii="Cambria Math" w:hAnsi="Cambria Math" w:cs="Times"/>
                            <w:szCs w:val="24"/>
                            <w:lang w:val="en-GB" w:eastAsia="ja-JP"/>
                          </w:rPr>
                          <m:t>1</m:t>
                        </m:r>
                      </m:sub>
                      <m:sup>
                        <m:r>
                          <w:rPr>
                            <w:rFonts w:ascii="Cambria Math" w:hAnsi="Cambria Math" w:cs="Times"/>
                            <w:szCs w:val="24"/>
                            <w:lang w:val="en-GB" w:eastAsia="ja-JP"/>
                          </w:rPr>
                          <m:t>2</m:t>
                        </m:r>
                      </m:sup>
                    </m:sSubSup>
                    <m:r>
                      <w:rPr>
                        <w:rFonts w:ascii="Cambria Math" w:hAnsi="Cambria Math" w:cs="Times"/>
                        <w:szCs w:val="24"/>
                        <w:lang w:val="en-GB" w:eastAsia="ja-JP"/>
                      </w:rPr>
                      <m:t xml:space="preserve"> </m:t>
                    </m:r>
                  </m:den>
                </m:f>
              </m:e>
            </m:d>
          </m:e>
          <m:sub>
            <m:r>
              <w:rPr>
                <w:rFonts w:ascii="Cambria Math" w:hAnsi="Cambria Math" w:cs="Times"/>
                <w:szCs w:val="24"/>
                <w:lang w:val="en-GB" w:eastAsia="ja-JP"/>
              </w:rPr>
              <m:t>T,P,</m:t>
            </m:r>
            <m:sSub>
              <m:sSubPr>
                <m:ctrlPr>
                  <w:rPr>
                    <w:rFonts w:ascii="Cambria Math" w:hAnsi="Cambria Math" w:cs="Times"/>
                    <w:i/>
                    <w:szCs w:val="24"/>
                    <w:lang w:val="en-GB" w:eastAsia="ja-JP"/>
                  </w:rPr>
                </m:ctrlPr>
              </m:sSubPr>
              <m:e>
                <m:r>
                  <w:rPr>
                    <w:rFonts w:ascii="Cambria Math" w:hAnsi="Cambria Math" w:cs="Times"/>
                    <w:szCs w:val="24"/>
                    <w:lang w:val="en-GB" w:eastAsia="ja-JP"/>
                  </w:rPr>
                  <m:t>N</m:t>
                </m:r>
              </m:e>
              <m:sub>
                <m:r>
                  <w:rPr>
                    <w:rFonts w:ascii="Cambria Math" w:hAnsi="Cambria Math" w:cs="Times"/>
                    <w:szCs w:val="24"/>
                    <w:lang w:val="en-GB" w:eastAsia="ja-JP"/>
                  </w:rPr>
                  <m:t>u</m:t>
                </m:r>
              </m:sub>
            </m:sSub>
            <m:r>
              <w:rPr>
                <w:rFonts w:ascii="Cambria Math" w:hAnsi="Cambria Math" w:cs="Times"/>
                <w:szCs w:val="24"/>
                <w:lang w:val="en-GB" w:eastAsia="ja-JP"/>
              </w:rPr>
              <m:t>→0</m:t>
            </m:r>
          </m:sub>
        </m:sSub>
      </m:oMath>
      <w:r w:rsidR="004B47F7" w:rsidRPr="00EC5244">
        <w:rPr>
          <w:szCs w:val="24"/>
          <w:lang w:val="en-GB" w:eastAsia="ja-JP"/>
        </w:rPr>
        <w:t xml:space="preserve"> has shown that </w:t>
      </w:r>
    </w:p>
    <w:p w14:paraId="5DC8CB6E" w14:textId="79907608" w:rsidR="00656FD1" w:rsidRPr="00EC5244" w:rsidRDefault="004B47F7" w:rsidP="00BF48EE">
      <w:pPr>
        <w:pStyle w:val="TAMainText"/>
        <w:numPr>
          <w:ilvl w:val="0"/>
          <w:numId w:val="4"/>
        </w:numPr>
        <w:rPr>
          <w:lang w:val="en-CA"/>
        </w:rPr>
      </w:pPr>
      <w:r w:rsidRPr="00EC5244">
        <w:rPr>
          <w:lang w:val="en-CA"/>
        </w:rPr>
        <w:t xml:space="preserve">A sudden onset of solubilization at MHC </w:t>
      </w:r>
      <w:r w:rsidR="005A7FF6" w:rsidRPr="00EC5244">
        <w:rPr>
          <w:lang w:val="en-CA"/>
        </w:rPr>
        <w:t>comes from the enhancement of hydrotrope-hydrotrope self-association induced by the solute molecule.</w:t>
      </w:r>
      <w:r w:rsidR="00CC30DD" w:rsidRPr="00EC5244">
        <w:rPr>
          <w:lang w:val="en-CA"/>
        </w:rPr>
        <w:fldChar w:fldCharType="begin" w:fldLock="1"/>
      </w:r>
      <w:r w:rsidR="004D1EB5"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"id" : "ITEM-2",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"ITEM-2", "issue" : "36", "issued" : { "date-parts" : [ [ "2016" ] ] }, "page" : "25621-25628", "publisher" : "Royal Society of Chemistry", "title" : "The origin of cooperative solubilisation by hydrotropes", "type" : "article-journal", "volume" : "18" }, "uris" : [ "http://www.mendeley.com/documents/?uuid=dcc5121c-094a-4702-bc34-1086a5612e68" ] } ], "mendeley" : { "formattedCitation" : "&lt;sup&gt;10,12&lt;/sup&gt;", "plainTextFormattedCitation" : "10,12", "previouslyFormattedCitation" : "&lt;sup&gt;10,12&lt;/sup&gt;" }, "properties" : { "noteIndex" : 0 }, "schema" : "https://github.com/citation-style-language/schema/raw/master/csl-citation.json" }</w:instrText>
      </w:r>
      <w:r w:rsidR="00CC30DD" w:rsidRPr="00EC5244">
        <w:rPr>
          <w:lang w:val="en-CA"/>
        </w:rPr>
        <w:fldChar w:fldCharType="separate"/>
      </w:r>
      <w:r w:rsidR="004D1EB5" w:rsidRPr="00EC5244">
        <w:rPr>
          <w:noProof/>
          <w:vertAlign w:val="superscript"/>
          <w:lang w:val="en-CA"/>
        </w:rPr>
        <w:t>10,12</w:t>
      </w:r>
      <w:r w:rsidR="00CC30DD" w:rsidRPr="00EC5244">
        <w:rPr>
          <w:lang w:val="en-CA"/>
        </w:rPr>
        <w:fldChar w:fldCharType="end"/>
      </w:r>
      <w:r w:rsidR="005A7FF6" w:rsidRPr="00EC5244">
        <w:rPr>
          <w:lang w:val="en-CA"/>
        </w:rPr>
        <w:t xml:space="preserve"> </w:t>
      </w:r>
    </w:p>
    <w:p w14:paraId="0F0BF5B7" w14:textId="77777777" w:rsidR="005A7FF6" w:rsidRPr="00EC5244" w:rsidRDefault="005A7FF6" w:rsidP="00283FBB">
      <w:pPr>
        <w:pStyle w:val="TAMainText"/>
        <w:ind w:firstLine="0"/>
        <w:rPr>
          <w:lang w:val="en-CA"/>
        </w:rPr>
      </w:pPr>
    </w:p>
    <w:p w14:paraId="1B23520A" w14:textId="0000FA9E" w:rsidR="005A7FF6" w:rsidRPr="00EC5244" w:rsidRDefault="005A7FF6" w:rsidP="005A7FF6">
      <w:pPr>
        <w:pStyle w:val="TAMainText"/>
        <w:rPr>
          <w:lang w:val="en-CA"/>
        </w:rPr>
      </w:pPr>
      <w:r w:rsidRPr="00EC5244">
        <w:rPr>
          <w:lang w:val="en-CA"/>
        </w:rPr>
        <w:t xml:space="preserve">We have thus clarified the driving forces for hydrotropic solubilization as well as its cooperativity based on the KB theory. </w:t>
      </w:r>
      <w:r w:rsidR="00217C45" w:rsidRPr="00EC5244">
        <w:rPr>
          <w:lang w:val="en-CA"/>
        </w:rPr>
        <w:t>This picture will be generalised to be applicable to concentrated solutes in Section 5.1.</w:t>
      </w:r>
    </w:p>
    <w:p w14:paraId="63FE2F12" w14:textId="480AC77A" w:rsidR="00AA5541" w:rsidRPr="00EC5244" w:rsidRDefault="00AA5541" w:rsidP="00283FBB">
      <w:pPr>
        <w:pStyle w:val="TAMainText"/>
        <w:ind w:firstLine="0"/>
        <w:rPr>
          <w:lang w:val="en-CA"/>
        </w:rPr>
      </w:pPr>
    </w:p>
    <w:p w14:paraId="4A76800E" w14:textId="58A91996" w:rsidR="00F056C1" w:rsidRPr="00EC5244" w:rsidRDefault="00EA168C" w:rsidP="00283FBB">
      <w:pPr>
        <w:pStyle w:val="TAMainText"/>
        <w:ind w:firstLine="0"/>
        <w:rPr>
          <w:b/>
          <w:lang w:val="en-CA"/>
        </w:rPr>
      </w:pPr>
      <w:r w:rsidRPr="00EC5244">
        <w:rPr>
          <w:b/>
          <w:lang w:val="en-CA"/>
        </w:rPr>
        <w:t>3.2. A</w:t>
      </w:r>
      <w:r w:rsidR="00234504" w:rsidRPr="00EC5244">
        <w:rPr>
          <w:b/>
          <w:lang w:val="en-CA"/>
        </w:rPr>
        <w:t>pparent cooperativity in a</w:t>
      </w:r>
      <w:r w:rsidR="00F056C1" w:rsidRPr="00EC5244">
        <w:rPr>
          <w:b/>
          <w:lang w:val="en-CA"/>
        </w:rPr>
        <w:t xml:space="preserve">queous </w:t>
      </w:r>
      <w:r w:rsidRPr="00EC5244">
        <w:rPr>
          <w:b/>
          <w:lang w:val="en-CA"/>
        </w:rPr>
        <w:t>biphasic systems</w:t>
      </w:r>
    </w:p>
    <w:p w14:paraId="54C6A9C9" w14:textId="77777777" w:rsidR="00EA168C" w:rsidRPr="00EC5244" w:rsidRDefault="00EA168C" w:rsidP="00283FBB">
      <w:pPr>
        <w:pStyle w:val="TAMainText"/>
        <w:ind w:firstLine="0"/>
        <w:rPr>
          <w:lang w:val="en-CA"/>
        </w:rPr>
      </w:pPr>
    </w:p>
    <w:p w14:paraId="01F318FF" w14:textId="2E5C9772" w:rsidR="00F056C1" w:rsidRPr="00EC5244" w:rsidRDefault="00F056C1" w:rsidP="00283FBB">
      <w:pPr>
        <w:pStyle w:val="TAMainText"/>
        <w:ind w:firstLine="0"/>
        <w:rPr>
          <w:lang w:val="en-CA"/>
        </w:rPr>
      </w:pPr>
      <w:r w:rsidRPr="00EC5244">
        <w:rPr>
          <w:lang w:val="en-CA"/>
        </w:rPr>
        <w:t>Here we consider a</w:t>
      </w:r>
      <w:r w:rsidR="00423F5A" w:rsidRPr="00EC5244">
        <w:rPr>
          <w:lang w:val="en-CA"/>
        </w:rPr>
        <w:t>nother extreme case at</w:t>
      </w:r>
      <w:r w:rsidR="0097233D" w:rsidRPr="00EC5244">
        <w:rPr>
          <w:lang w:val="en-CA"/>
        </w:rPr>
        <w:t xml:space="preserve"> the opposite end, </w:t>
      </w:r>
      <w:r w:rsidR="005A7FF6" w:rsidRPr="00EC5244">
        <w:rPr>
          <w:lang w:val="en-CA"/>
        </w:rPr>
        <w:t xml:space="preserve">i.e., </w:t>
      </w:r>
      <w:r w:rsidR="0097233D" w:rsidRPr="00EC5244">
        <w:rPr>
          <w:lang w:val="en-CA"/>
        </w:rPr>
        <w:t xml:space="preserve">solubilization in the </w:t>
      </w:r>
      <w:r w:rsidR="005A7FF6" w:rsidRPr="00EC5244">
        <w:rPr>
          <w:lang w:val="en-CA"/>
        </w:rPr>
        <w:t xml:space="preserve">aqueous </w:t>
      </w:r>
      <w:r w:rsidR="008A3FA6" w:rsidRPr="00EC5244">
        <w:rPr>
          <w:lang w:val="en-CA"/>
        </w:rPr>
        <w:t>biphasic system</w:t>
      </w:r>
      <w:r w:rsidR="005A7FF6" w:rsidRPr="00EC5244">
        <w:rPr>
          <w:lang w:val="en-CA"/>
        </w:rPr>
        <w:t>s</w:t>
      </w:r>
      <w:r w:rsidR="0097233D" w:rsidRPr="00EC5244">
        <w:rPr>
          <w:lang w:val="en-CA"/>
        </w:rPr>
        <w:t xml:space="preserve">, whose existence can be inferred </w:t>
      </w:r>
      <w:r w:rsidR="009B2004" w:rsidRPr="00EC5244">
        <w:rPr>
          <w:lang w:val="en-CA"/>
        </w:rPr>
        <w:t xml:space="preserve">by </w:t>
      </w:r>
      <w:r w:rsidR="008A3FA6" w:rsidRPr="00EC5244">
        <w:rPr>
          <w:lang w:val="en-CA"/>
        </w:rPr>
        <w:t>the phase diagram</w:t>
      </w:r>
      <w:r w:rsidR="0097233D" w:rsidRPr="00EC5244">
        <w:rPr>
          <w:lang w:val="en-CA"/>
        </w:rPr>
        <w:t xml:space="preserve"> of the aqueous hydrotrope mixture. </w:t>
      </w:r>
    </w:p>
    <w:p w14:paraId="1AE8D514" w14:textId="77777777" w:rsidR="008A3FA6" w:rsidRPr="00EC5244" w:rsidRDefault="008A3FA6" w:rsidP="00283FBB">
      <w:pPr>
        <w:pStyle w:val="TAMainText"/>
        <w:ind w:firstLine="0"/>
        <w:rPr>
          <w:lang w:val="en-CA"/>
        </w:rPr>
      </w:pPr>
    </w:p>
    <w:p w14:paraId="388BCF09" w14:textId="1DCC4E8A" w:rsidR="00ED6007" w:rsidRPr="00EC5244" w:rsidRDefault="008A3FA6" w:rsidP="00A45BE5">
      <w:pPr>
        <w:pStyle w:val="TAMainText"/>
        <w:rPr>
          <w:lang w:val="en-CA"/>
        </w:rPr>
      </w:pPr>
      <w:r w:rsidRPr="00EC5244">
        <w:rPr>
          <w:lang w:val="en-CA"/>
        </w:rPr>
        <w:t>Let us consider a 2-component system (</w:t>
      </w:r>
      <m:oMath>
        <m:r>
          <w:rPr>
            <w:rFonts w:ascii="Cambria Math" w:hAnsi="Cambria Math"/>
            <w:lang w:val="en-CA"/>
          </w:rPr>
          <m:t>C=2</m:t>
        </m:r>
      </m:oMath>
      <w:r w:rsidRPr="00EC5244">
        <w:rPr>
          <w:lang w:val="en-CA"/>
        </w:rPr>
        <w:t>), which separates into 2 phases (</w:t>
      </w:r>
      <m:oMath>
        <m:r>
          <w:rPr>
            <w:rFonts w:ascii="Cambria Math" w:hAnsi="Cambria Math"/>
            <w:lang w:val="en-CA"/>
          </w:rPr>
          <m:t>P=2</m:t>
        </m:r>
      </m:oMath>
      <w:r w:rsidR="0097233D" w:rsidRPr="00EC5244">
        <w:rPr>
          <w:lang w:val="en-CA"/>
        </w:rPr>
        <w:t xml:space="preserve">). According </w:t>
      </w:r>
      <w:r w:rsidRPr="00EC5244">
        <w:rPr>
          <w:lang w:val="en-CA"/>
        </w:rPr>
        <w:t xml:space="preserve">to the Gibbs phase rule, the degrees of freedom are </w:t>
      </w:r>
      <m:oMath>
        <m:r>
          <w:rPr>
            <w:rFonts w:ascii="Cambria Math" w:hAnsi="Cambria Math"/>
            <w:lang w:val="en-CA"/>
          </w:rPr>
          <m:t>F=2-2+2=2</m:t>
        </m:r>
      </m:oMath>
      <w:r w:rsidRPr="00EC5244">
        <w:rPr>
          <w:lang w:val="en-CA"/>
        </w:rPr>
        <w:t xml:space="preserve">. </w:t>
      </w:r>
      <w:r w:rsidR="00ED6007" w:rsidRPr="00EC5244">
        <w:rPr>
          <w:lang w:val="en-CA"/>
        </w:rPr>
        <w:t>This means, under a constant temperature, either pressure or composition can be changed, but not both</w:t>
      </w:r>
      <w:r w:rsidR="00A45BE5" w:rsidRPr="00EC5244">
        <w:rPr>
          <w:lang w:val="en-CA"/>
        </w:rPr>
        <w:t xml:space="preserve">. This leaves us with only one thermodynamic parameter along which the solvation free energy can be changed. Therefore, in this system, two KB integrals (solute-water and solute-hydrotrope) cannot be determined independently. This is in contrast with </w:t>
      </w:r>
      <w:r w:rsidR="00ED6007" w:rsidRPr="00EC5244">
        <w:rPr>
          <w:lang w:val="en-CA"/>
        </w:rPr>
        <w:t>the case of single-ph</w:t>
      </w:r>
      <w:r w:rsidR="00A45BE5" w:rsidRPr="00EC5244">
        <w:rPr>
          <w:lang w:val="en-CA"/>
        </w:rPr>
        <w:t>ase aqueous hydrotrope solution in which the solvation free energy could be modulated</w:t>
      </w:r>
      <w:r w:rsidR="00ED6007" w:rsidRPr="00EC5244">
        <w:rPr>
          <w:lang w:val="en-CA"/>
        </w:rPr>
        <w:t xml:space="preserve"> </w:t>
      </w:r>
      <w:r w:rsidR="00A45BE5" w:rsidRPr="00EC5244">
        <w:rPr>
          <w:lang w:val="en-CA"/>
        </w:rPr>
        <w:t>by two independent thermodynamic parameters, by which two KB integrals (</w:t>
      </w:r>
      <w:r w:rsidR="00ED6007" w:rsidRPr="00EC5244">
        <w:rPr>
          <w:lang w:val="en-CA"/>
        </w:rPr>
        <w:t>solute-water and solute-hydrotrope</w:t>
      </w:r>
      <w:r w:rsidR="00A45BE5" w:rsidRPr="00EC5244">
        <w:rPr>
          <w:lang w:val="en-CA"/>
        </w:rPr>
        <w:t>) could</w:t>
      </w:r>
      <w:r w:rsidR="00ED6007" w:rsidRPr="00EC5244">
        <w:rPr>
          <w:lang w:val="en-CA"/>
        </w:rPr>
        <w:t xml:space="preserve"> be determined independently. </w:t>
      </w:r>
    </w:p>
    <w:p w14:paraId="5ABE2D2F" w14:textId="77777777" w:rsidR="00ED6007" w:rsidRPr="00EC5244" w:rsidRDefault="00ED6007" w:rsidP="00283FBB">
      <w:pPr>
        <w:pStyle w:val="TAMainText"/>
        <w:ind w:firstLine="0"/>
        <w:rPr>
          <w:lang w:val="en-CA"/>
        </w:rPr>
      </w:pPr>
    </w:p>
    <w:p w14:paraId="293E59C1" w14:textId="220EBDB4" w:rsidR="005A7FF6" w:rsidRPr="00EC5244" w:rsidRDefault="008A3FA6" w:rsidP="005A7FF6">
      <w:pPr>
        <w:pStyle w:val="TAMainText"/>
        <w:rPr>
          <w:lang w:val="en-CA"/>
        </w:rPr>
      </w:pPr>
      <w:r w:rsidRPr="00EC5244">
        <w:rPr>
          <w:lang w:val="en-CA"/>
        </w:rPr>
        <w:t>Suppose that the aqueous “hydrotrope” solution has relatively low</w:t>
      </w:r>
      <w:r w:rsidR="00FF784D" w:rsidRPr="00EC5244">
        <w:rPr>
          <w:lang w:val="en-CA"/>
        </w:rPr>
        <w:t xml:space="preserve"> saturation solubility of the hydrotrope</w:t>
      </w:r>
      <w:r w:rsidRPr="00EC5244">
        <w:rPr>
          <w:lang w:val="en-CA"/>
        </w:rPr>
        <w:t xml:space="preserve">. The addition of more hydrotrope after this composition will see the phase separation of the system into two phases. </w:t>
      </w:r>
      <w:r w:rsidR="005A7FF6" w:rsidRPr="00EC5244">
        <w:rPr>
          <w:lang w:val="en-CA"/>
        </w:rPr>
        <w:t>Using the mole fraction scale, let us denote the two hydrotrope concentrations</w:t>
      </w:r>
      <w:r w:rsidR="00A16D86" w:rsidRPr="00EC5244">
        <w:t xml:space="preserve"> on the coexistence curve</w:t>
      </w:r>
      <w:r w:rsidR="005A7FF6" w:rsidRPr="00EC5244">
        <w:rPr>
          <w:lang w:val="en-CA"/>
        </w:rPr>
        <w:t xml:space="preserve"> as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CW</m:t>
            </m:r>
          </m:sup>
        </m:sSubSup>
      </m:oMath>
      <w:r w:rsidR="005A7FF6" w:rsidRPr="00EC5244">
        <w:rPr>
          <w:lang w:val="en-CA"/>
        </w:rPr>
        <w:t xml:space="preserve"> </w:t>
      </w:r>
      <w:r w:rsidR="00E211FB" w:rsidRPr="00EC5244">
        <w:rPr>
          <w:lang w:val="en-CA"/>
        </w:rPr>
        <w:t xml:space="preserve">(water rich) </w:t>
      </w:r>
      <w:r w:rsidR="005A7FF6" w:rsidRPr="00EC5244">
        <w:rPr>
          <w:lang w:val="en-CA"/>
        </w:rPr>
        <w:t xml:space="preserve">and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oMath>
      <w:r w:rsidR="00E211FB" w:rsidRPr="00EC5244">
        <w:rPr>
          <w:lang w:val="en-CA"/>
        </w:rPr>
        <w:t xml:space="preserve"> (hydrotrope rich)</w:t>
      </w:r>
      <w:r w:rsidR="005A7FF6" w:rsidRPr="00EC5244">
        <w:rPr>
          <w:lang w:val="en-CA"/>
        </w:rPr>
        <w:t xml:space="preserve">. </w:t>
      </w:r>
      <w:r w:rsidR="000141A9" w:rsidRPr="00EC5244">
        <w:rPr>
          <w:lang w:val="en-CA"/>
        </w:rPr>
        <w:t xml:space="preserve">Let the molecular weight of water and hydrotrope respectively be </w:t>
      </w:r>
      <m:oMath>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oMath>
      <w:r w:rsidR="000141A9" w:rsidRPr="00EC5244">
        <w:rPr>
          <w:lang w:val="en-CA"/>
        </w:rPr>
        <w:t xml:space="preserve"> and </w:t>
      </w:r>
      <m:oMath>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2</m:t>
            </m:r>
          </m:sub>
        </m:sSub>
      </m:oMath>
      <w:r w:rsidR="000141A9" w:rsidRPr="00EC5244">
        <w:rPr>
          <w:lang w:val="en-CA"/>
        </w:rPr>
        <w:t xml:space="preserve">. </w:t>
      </w:r>
      <w:r w:rsidR="00E211FB" w:rsidRPr="00EC5244">
        <w:rPr>
          <w:lang w:val="en-CA"/>
        </w:rPr>
        <w:t xml:space="preserve">According to the </w:t>
      </w:r>
      <w:r w:rsidR="008A0E92" w:rsidRPr="00EC5244">
        <w:rPr>
          <w:lang w:val="en-CA"/>
        </w:rPr>
        <w:t xml:space="preserve">lever rule, the </w:t>
      </w:r>
      <w:r w:rsidR="008A0E92" w:rsidRPr="00EC5244">
        <w:rPr>
          <w:lang w:val="en-GB"/>
        </w:rPr>
        <w:t xml:space="preserve">volume </w:t>
      </w:r>
      <w:r w:rsidR="005A7FF6" w:rsidRPr="00EC5244">
        <w:rPr>
          <w:lang w:val="en-CA"/>
        </w:rPr>
        <w:t xml:space="preserve">ratio between the </w:t>
      </w:r>
      <w:r w:rsidRPr="00EC5244">
        <w:rPr>
          <w:lang w:val="en-CA"/>
        </w:rPr>
        <w:t xml:space="preserve">amount of hydrotrope-rich phase </w:t>
      </w:r>
      <w:r w:rsidR="007C079D" w:rsidRPr="00EC5244">
        <w:rPr>
          <w:lang w:val="en-CA"/>
        </w:rPr>
        <w:t xml:space="preserve">(whose composition and mass density are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oMath>
      <w:r w:rsidR="007C079D" w:rsidRPr="00EC5244">
        <w:rPr>
          <w:lang w:val="en-CA"/>
        </w:rPr>
        <w:t xml:space="preserve"> and </w:t>
      </w:r>
      <m:oMath>
        <m:sSup>
          <m:sSupPr>
            <m:ctrlPr>
              <w:rPr>
                <w:rFonts w:ascii="Cambria Math" w:hAnsi="Cambria Math"/>
                <w:i/>
                <w:lang w:val="en-CA"/>
              </w:rPr>
            </m:ctrlPr>
          </m:sSupPr>
          <m:e>
            <m:r>
              <w:rPr>
                <w:rFonts w:ascii="Cambria Math" w:hAnsi="Cambria Math"/>
                <w:lang w:val="en-CA"/>
              </w:rPr>
              <m:t>ρ</m:t>
            </m:r>
          </m:e>
          <m:sup>
            <m:r>
              <w:rPr>
                <w:rFonts w:ascii="Cambria Math" w:hAnsi="Cambria Math"/>
                <w:lang w:val="en-CA"/>
              </w:rPr>
              <m:t>CH</m:t>
            </m:r>
          </m:sup>
        </m:sSup>
      </m:oMath>
      <w:r w:rsidR="007C079D" w:rsidRPr="00EC5244">
        <w:rPr>
          <w:lang w:val="en-CA"/>
        </w:rPr>
        <w:t xml:space="preserve">, respectively) </w:t>
      </w:r>
      <w:r w:rsidR="007C079D" w:rsidRPr="00EC5244">
        <w:rPr>
          <w:i/>
          <w:lang w:val="en-CA"/>
        </w:rPr>
        <w:t>versus</w:t>
      </w:r>
      <w:r w:rsidR="007C079D" w:rsidRPr="00EC5244">
        <w:rPr>
          <w:lang w:val="en-CA"/>
        </w:rPr>
        <w:t xml:space="preserve"> the water-rich phases (whose composition and mass density are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CW</m:t>
            </m:r>
          </m:sup>
        </m:sSubSup>
      </m:oMath>
      <w:r w:rsidR="007C079D" w:rsidRPr="00EC5244">
        <w:rPr>
          <w:lang w:val="en-CA"/>
        </w:rPr>
        <w:t xml:space="preserve"> and </w:t>
      </w:r>
      <m:oMath>
        <m:sSup>
          <m:sSupPr>
            <m:ctrlPr>
              <w:rPr>
                <w:rFonts w:ascii="Cambria Math" w:hAnsi="Cambria Math"/>
                <w:i/>
                <w:lang w:val="en-CA"/>
              </w:rPr>
            </m:ctrlPr>
          </m:sSupPr>
          <m:e>
            <m:r>
              <w:rPr>
                <w:rFonts w:ascii="Cambria Math" w:hAnsi="Cambria Math"/>
                <w:lang w:val="en-CA"/>
              </w:rPr>
              <m:t>ρ</m:t>
            </m:r>
          </m:e>
          <m:sup>
            <m:r>
              <w:rPr>
                <w:rFonts w:ascii="Cambria Math" w:hAnsi="Cambria Math"/>
                <w:lang w:val="en-CA"/>
              </w:rPr>
              <m:t>CW</m:t>
            </m:r>
          </m:sup>
        </m:sSup>
      </m:oMath>
      <w:r w:rsidR="007C079D" w:rsidRPr="00EC5244">
        <w:rPr>
          <w:lang w:val="en-CA"/>
        </w:rPr>
        <w:t>, respectively)</w:t>
      </w:r>
      <w:r w:rsidR="005A7FF6" w:rsidRPr="00EC5244">
        <w:rPr>
          <w:lang w:val="en-CA"/>
        </w:rPr>
        <w:t xml:space="preserve"> can be calculated between the two critical</w:t>
      </w:r>
      <w:r w:rsidRPr="00EC5244">
        <w:rPr>
          <w:lang w:val="en-CA"/>
        </w:rPr>
        <w:t xml:space="preserve"> composition</w:t>
      </w:r>
      <w:r w:rsidR="005A7FF6" w:rsidRPr="00EC5244">
        <w:rPr>
          <w:lang w:val="en-CA"/>
        </w:rPr>
        <w:t xml:space="preserve">s as </w:t>
      </w:r>
    </w:p>
    <w:p w14:paraId="29A1495A" w14:textId="5FDC7B1F" w:rsidR="008A3FA6" w:rsidRPr="00EC5244" w:rsidRDefault="005A7FF6" w:rsidP="005A7FF6">
      <w:pPr>
        <w:pStyle w:val="TAMainText"/>
        <w:rPr>
          <w:lang w:val="en-CA"/>
        </w:rPr>
      </w:pPr>
      <m:oMath>
        <m:r>
          <w:rPr>
            <w:rFonts w:ascii="Cambria Math" w:hAnsi="Cambria Math"/>
            <w:lang w:val="en-CA"/>
          </w:rPr>
          <m:t>R=</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CW</m:t>
                </m:r>
              </m:sup>
            </m:sSubSup>
          </m:num>
          <m:den>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r>
              <w:rPr>
                <w:rFonts w:ascii="Cambria Math" w:hAnsi="Cambria Math"/>
                <w:lang w:val="en-CA"/>
              </w:rPr>
              <m: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den>
        </m:f>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ρ</m:t>
                </m:r>
              </m:e>
              <m:sup>
                <m:r>
                  <w:rPr>
                    <w:rFonts w:ascii="Cambria Math" w:hAnsi="Cambria Math"/>
                    <w:lang w:val="en-CA"/>
                  </w:rPr>
                  <m:t>CW</m:t>
                </m:r>
              </m:sup>
            </m:sSup>
          </m:num>
          <m:den>
            <m:sSup>
              <m:sSupPr>
                <m:ctrlPr>
                  <w:rPr>
                    <w:rFonts w:ascii="Cambria Math" w:hAnsi="Cambria Math"/>
                    <w:i/>
                    <w:lang w:val="en-CA"/>
                  </w:rPr>
                </m:ctrlPr>
              </m:sSupPr>
              <m:e>
                <m:r>
                  <w:rPr>
                    <w:rFonts w:ascii="Cambria Math" w:hAnsi="Cambria Math"/>
                    <w:lang w:val="en-CA"/>
                  </w:rPr>
                  <m:t>ρ</m:t>
                </m:r>
              </m:e>
              <m:sup>
                <m:r>
                  <w:rPr>
                    <w:rFonts w:ascii="Cambria Math" w:hAnsi="Cambria Math"/>
                    <w:lang w:val="en-CA"/>
                  </w:rPr>
                  <m:t>CH</m:t>
                </m:r>
              </m:sup>
            </m:sSup>
          </m:den>
        </m:f>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r>
              <w:rPr>
                <w:rFonts w:ascii="Cambria Math" w:hAnsi="Cambria Math"/>
                <w:lang w:val="en-CA"/>
              </w:rPr>
              <m:t>+</m:t>
            </m:r>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e>
            </m:d>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num>
          <m:den>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r>
              <w:rPr>
                <w:rFonts w:ascii="Cambria Math" w:hAnsi="Cambria Math"/>
                <w:lang w:val="en-CA"/>
              </w:rPr>
              <m:t>+</m:t>
            </m:r>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e>
            </m:d>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CW</m:t>
                </m:r>
              </m:sup>
            </m:sSubSup>
          </m:den>
        </m:f>
        <m:r>
          <w:rPr>
            <w:rFonts w:ascii="Cambria Math" w:hAnsi="Cambria Math"/>
            <w:lang w:val="en-CA"/>
          </w:rPr>
          <m:t xml:space="preserve"> =</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L</m:t>
                </m:r>
              </m:num>
              <m:den>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r>
                  <w:rPr>
                    <w:rFonts w:ascii="Cambria Math" w:hAnsi="Cambria Math"/>
                    <w:lang w:val="en-CA"/>
                  </w:rPr>
                  <m: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den>
            </m:f>
            <m:r>
              <w:rPr>
                <w:rFonts w:ascii="Cambria Math" w:hAnsi="Cambria Math"/>
                <w:lang w:val="en-CA"/>
              </w:rPr>
              <m:t>-1</m:t>
            </m:r>
          </m:e>
        </m:d>
        <m:r>
          <w:rPr>
            <w:rFonts w:ascii="Cambria Math" w:hAnsi="Cambria Math"/>
            <w:lang w:val="en-CA"/>
          </w:rPr>
          <m:t>R'</m:t>
        </m:r>
      </m:oMath>
      <w:r w:rsidR="008A3FA6" w:rsidRPr="00EC5244">
        <w:rPr>
          <w:lang w:val="en-CA"/>
        </w:rPr>
        <w:t xml:space="preserve"> </w:t>
      </w:r>
      <w:r w:rsidR="008A0E92" w:rsidRPr="00EC5244">
        <w:rPr>
          <w:lang w:val="en-CA"/>
        </w:rPr>
        <w:tab/>
      </w:r>
      <w:r w:rsidR="008A0E92" w:rsidRPr="00EC5244">
        <w:rPr>
          <w:lang w:val="en-CA"/>
        </w:rPr>
        <w:tab/>
      </w:r>
      <w:r w:rsidR="008A0E92" w:rsidRPr="00EC5244">
        <w:rPr>
          <w:lang w:val="en-CA"/>
        </w:rPr>
        <w:tab/>
      </w:r>
      <w:r w:rsidR="008A0E92" w:rsidRPr="00EC5244">
        <w:rPr>
          <w:lang w:val="en-CA"/>
        </w:rPr>
        <w:tab/>
      </w:r>
      <w:r w:rsidR="008A0E92" w:rsidRPr="00EC5244">
        <w:rPr>
          <w:lang w:val="en-CA"/>
        </w:rPr>
        <w:tab/>
      </w:r>
      <w:r w:rsidRPr="00EC5244">
        <w:rPr>
          <w:lang w:val="en-CA"/>
        </w:rPr>
        <w:t>(2)</w:t>
      </w:r>
    </w:p>
    <w:p w14:paraId="339924B3" w14:textId="528F2F99" w:rsidR="005A7FF6" w:rsidRPr="00EC5244" w:rsidRDefault="005A7FF6" w:rsidP="00283FBB">
      <w:pPr>
        <w:pStyle w:val="TAMainText"/>
        <w:ind w:firstLine="0"/>
        <w:rPr>
          <w:lang w:val="en-CA"/>
        </w:rPr>
      </w:pPr>
      <w:r w:rsidRPr="00EC5244">
        <w:rPr>
          <w:lang w:val="en-CA"/>
        </w:rPr>
        <w:t xml:space="preserve">where </w:t>
      </w:r>
      <m:oMath>
        <m:r>
          <w:rPr>
            <w:rFonts w:ascii="Cambria Math" w:hAnsi="Cambria Math"/>
            <w:lang w:val="en-CA"/>
          </w:rPr>
          <m:t>L=</m:t>
        </m:r>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CW</m:t>
            </m:r>
          </m:sup>
        </m:sSubSup>
      </m:oMath>
      <w:r w:rsidR="000141A9" w:rsidRPr="00EC5244">
        <w:rPr>
          <w:lang w:val="en-CA"/>
        </w:rPr>
        <w:t xml:space="preserve"> and</w:t>
      </w:r>
      <w:r w:rsidR="008A0E92" w:rsidRPr="00EC5244">
        <w:rPr>
          <w:lang w:val="en-CA"/>
        </w:rPr>
        <w:t xml:space="preserve"> </w:t>
      </w:r>
      <m:oMath>
        <m:r>
          <w:rPr>
            <w:rFonts w:ascii="Cambria Math" w:hAnsi="Cambria Math"/>
            <w:lang w:val="en-CA"/>
          </w:rPr>
          <m:t>R'=</m:t>
        </m:r>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ρ</m:t>
                </m:r>
              </m:e>
              <m:sup>
                <m:r>
                  <w:rPr>
                    <w:rFonts w:ascii="Cambria Math" w:hAnsi="Cambria Math"/>
                    <w:lang w:val="en-CA"/>
                  </w:rPr>
                  <m:t>CW</m:t>
                </m:r>
              </m:sup>
            </m:sSup>
          </m:num>
          <m:den>
            <m:sSup>
              <m:sSupPr>
                <m:ctrlPr>
                  <w:rPr>
                    <w:rFonts w:ascii="Cambria Math" w:hAnsi="Cambria Math"/>
                    <w:i/>
                    <w:lang w:val="en-CA"/>
                  </w:rPr>
                </m:ctrlPr>
              </m:sSupPr>
              <m:e>
                <m:r>
                  <w:rPr>
                    <w:rFonts w:ascii="Cambria Math" w:hAnsi="Cambria Math"/>
                    <w:lang w:val="en-CA"/>
                  </w:rPr>
                  <m:t>ρ</m:t>
                </m:r>
              </m:e>
              <m:sup>
                <m:r>
                  <w:rPr>
                    <w:rFonts w:ascii="Cambria Math" w:hAnsi="Cambria Math"/>
                    <w:lang w:val="en-CA"/>
                  </w:rPr>
                  <m:t>CH</m:t>
                </m:r>
              </m:sup>
            </m:sSup>
          </m:den>
        </m:f>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r>
              <w:rPr>
                <w:rFonts w:ascii="Cambria Math" w:hAnsi="Cambria Math"/>
                <w:lang w:val="en-CA"/>
              </w:rPr>
              <m:t>+</m:t>
            </m:r>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e>
            </m:d>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num>
          <m:den>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r>
              <w:rPr>
                <w:rFonts w:ascii="Cambria Math" w:hAnsi="Cambria Math"/>
                <w:lang w:val="en-CA"/>
              </w:rPr>
              <m:t>+</m:t>
            </m:r>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M</m:t>
                    </m:r>
                  </m:e>
                  <m:sub>
                    <m:r>
                      <w:rPr>
                        <w:rFonts w:ascii="Cambria Math" w:hAnsi="Cambria Math"/>
                        <w:lang w:val="en-CA"/>
                      </w:rPr>
                      <m:t>1</m:t>
                    </m:r>
                  </m:sub>
                </m:sSub>
              </m:e>
            </m:d>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CW</m:t>
                </m:r>
              </m:sup>
            </m:sSubSup>
          </m:den>
        </m:f>
      </m:oMath>
      <w:r w:rsidR="000141A9" w:rsidRPr="00EC5244">
        <w:rPr>
          <w:lang w:val="en-CA"/>
        </w:rPr>
        <w:t xml:space="preserve"> have been introduced for later convenience</w:t>
      </w:r>
      <w:r w:rsidR="008A0E92" w:rsidRPr="00EC5244">
        <w:rPr>
          <w:lang w:val="en-CA"/>
        </w:rPr>
        <w:t xml:space="preserve">. </w:t>
      </w:r>
    </w:p>
    <w:p w14:paraId="549393E4" w14:textId="77777777" w:rsidR="004D4B3C" w:rsidRPr="00EC5244" w:rsidRDefault="004D4B3C" w:rsidP="005A7FF6">
      <w:pPr>
        <w:pStyle w:val="TAMainText"/>
        <w:rPr>
          <w:lang w:val="en-CA"/>
        </w:rPr>
      </w:pPr>
    </w:p>
    <w:p w14:paraId="3CA31A14" w14:textId="71794687" w:rsidR="005A7FF6" w:rsidRPr="00EC5244" w:rsidRDefault="00B934F1" w:rsidP="005A7FF6">
      <w:pPr>
        <w:pStyle w:val="TAMainText"/>
        <w:rPr>
          <w:lang w:val="en-CA"/>
        </w:rPr>
      </w:pPr>
      <w:r w:rsidRPr="00EC5244">
        <w:rPr>
          <w:lang w:val="en-CA"/>
        </w:rPr>
        <w:t xml:space="preserve">Let us solubilize a hydrophobic solute into this aqueous biphasic system. </w:t>
      </w:r>
      <w:r w:rsidR="005A7FF6" w:rsidRPr="00EC5244">
        <w:rPr>
          <w:lang w:val="en-CA"/>
        </w:rPr>
        <w:t xml:space="preserve">Due to the Gibbs phase rule, </w:t>
      </w:r>
      <w:r w:rsidR="00FC0470" w:rsidRPr="00EC5244">
        <w:rPr>
          <w:lang w:val="en-CA"/>
        </w:rPr>
        <w:t>independent determination of solute-hydrotrope and solute-water interactions</w:t>
      </w:r>
      <w:r w:rsidR="005A7FF6" w:rsidRPr="00EC5244">
        <w:rPr>
          <w:lang w:val="en-CA"/>
        </w:rPr>
        <w:t xml:space="preserve"> is impossible</w:t>
      </w:r>
      <w:r w:rsidR="00E211FB" w:rsidRPr="00EC5244">
        <w:rPr>
          <w:lang w:val="en-CA"/>
        </w:rPr>
        <w:t>. The</w:t>
      </w:r>
      <w:r w:rsidR="00FC0470" w:rsidRPr="00EC5244">
        <w:rPr>
          <w:lang w:val="en-CA"/>
        </w:rPr>
        <w:t xml:space="preserve"> </w:t>
      </w:r>
      <w:r w:rsidR="00FC0470" w:rsidRPr="00EC5244">
        <w:rPr>
          <w:i/>
          <w:lang w:val="en-CA"/>
        </w:rPr>
        <w:t>relative</w:t>
      </w:r>
      <w:r w:rsidR="00FC0470" w:rsidRPr="00EC5244">
        <w:rPr>
          <w:lang w:val="en-CA"/>
        </w:rPr>
        <w:t xml:space="preserve"> strength</w:t>
      </w:r>
      <w:r w:rsidR="00E211FB" w:rsidRPr="00EC5244">
        <w:rPr>
          <w:lang w:val="en-CA"/>
        </w:rPr>
        <w:t xml:space="preserve"> of the two interaction</w:t>
      </w:r>
      <w:r w:rsidR="00FC0470" w:rsidRPr="00EC5244">
        <w:rPr>
          <w:lang w:val="en-CA"/>
        </w:rPr>
        <w:t xml:space="preserve">, however, can be determined. </w:t>
      </w:r>
      <w:r w:rsidR="005A7FF6" w:rsidRPr="00EC5244">
        <w:rPr>
          <w:lang w:val="en-CA"/>
        </w:rPr>
        <w:t xml:space="preserve">Let </w:t>
      </w:r>
      <m:oMath>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BF</m:t>
            </m:r>
          </m:sup>
        </m:sSup>
      </m:oMath>
      <w:r w:rsidR="005A7FF6" w:rsidRPr="00EC5244">
        <w:rPr>
          <w:lang w:val="en-CA"/>
        </w:rPr>
        <w:t xml:space="preserve"> be the partition coefficient between the water-rich and the hydrotrope-rich phases as </w:t>
      </w:r>
    </w:p>
    <w:p w14:paraId="40737D7A" w14:textId="2AABD60A" w:rsidR="005A7FF6" w:rsidRPr="00EC5244" w:rsidRDefault="000C7FF6" w:rsidP="005A7FF6">
      <w:pPr>
        <w:pStyle w:val="TAMainText"/>
        <w:rPr>
          <w:lang w:val="en-CA"/>
        </w:rPr>
      </w:pPr>
      <m:oMath>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BF</m:t>
            </m:r>
          </m:sup>
        </m:sSup>
        <m:r>
          <w:rPr>
            <w:rFonts w:ascii="Cambria Math" w:hAnsi="Cambria Math"/>
            <w:lang w:val="en-CA"/>
          </w:rPr>
          <m:t>=</m:t>
        </m:r>
        <m:f>
          <m:fPr>
            <m:ctrlPr>
              <w:rPr>
                <w:rFonts w:ascii="Cambria Math" w:hAnsi="Cambria Math"/>
                <w:i/>
                <w:lang w:val="en-CA"/>
              </w:rPr>
            </m:ctrlPr>
          </m:fPr>
          <m:num>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CH</m:t>
                </m:r>
              </m:sup>
            </m:sSubSup>
          </m:num>
          <m:den>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CW</m:t>
                </m:r>
              </m:sup>
            </m:sSubSup>
          </m:den>
        </m:f>
      </m:oMath>
      <w:r w:rsidR="005A7FF6" w:rsidRPr="00EC5244">
        <w:rPr>
          <w:lang w:val="en-CA"/>
        </w:rPr>
        <w:t xml:space="preserve">  </w:t>
      </w:r>
      <w:r w:rsidR="002405B8" w:rsidRPr="00EC5244">
        <w:rPr>
          <w:lang w:val="en-CA"/>
        </w:rPr>
        <w:tab/>
      </w:r>
      <w:r w:rsidR="002405B8" w:rsidRPr="00EC5244">
        <w:rPr>
          <w:lang w:val="en-CA"/>
        </w:rPr>
        <w:tab/>
      </w:r>
      <w:r w:rsidR="002405B8" w:rsidRPr="00EC5244">
        <w:rPr>
          <w:lang w:val="en-CA"/>
        </w:rPr>
        <w:tab/>
      </w:r>
      <w:r w:rsidR="002405B8" w:rsidRPr="00EC5244">
        <w:rPr>
          <w:lang w:val="en-CA"/>
        </w:rPr>
        <w:tab/>
      </w:r>
      <w:r w:rsidR="002405B8" w:rsidRPr="00EC5244">
        <w:rPr>
          <w:lang w:val="en-CA"/>
        </w:rPr>
        <w:tab/>
      </w:r>
      <w:r w:rsidR="002405B8" w:rsidRPr="00EC5244">
        <w:rPr>
          <w:lang w:val="en-CA"/>
        </w:rPr>
        <w:tab/>
      </w:r>
      <w:r w:rsidR="002405B8" w:rsidRPr="00EC5244">
        <w:rPr>
          <w:lang w:val="en-CA"/>
        </w:rPr>
        <w:tab/>
      </w:r>
      <w:r w:rsidR="002405B8" w:rsidRPr="00EC5244">
        <w:rPr>
          <w:lang w:val="en-CA"/>
        </w:rPr>
        <w:tab/>
      </w:r>
      <w:r w:rsidR="002405B8" w:rsidRPr="00EC5244">
        <w:rPr>
          <w:lang w:val="en-CA"/>
        </w:rPr>
        <w:tab/>
      </w:r>
      <w:r w:rsidR="002405B8" w:rsidRPr="00EC5244">
        <w:rPr>
          <w:lang w:val="en-CA"/>
        </w:rPr>
        <w:tab/>
      </w:r>
      <w:r w:rsidR="002405B8" w:rsidRPr="00EC5244">
        <w:rPr>
          <w:lang w:val="en-CA"/>
        </w:rPr>
        <w:tab/>
        <w:t xml:space="preserve">(3) </w:t>
      </w:r>
    </w:p>
    <w:p w14:paraId="4D1033FB" w14:textId="715103D3" w:rsidR="002405B8" w:rsidRPr="00EC5244" w:rsidRDefault="002405B8" w:rsidP="002405B8">
      <w:pPr>
        <w:pStyle w:val="TAMainText"/>
        <w:ind w:firstLine="0"/>
        <w:rPr>
          <w:lang w:val="en-CA"/>
        </w:rPr>
      </w:pPr>
      <w:r w:rsidRPr="00EC5244">
        <w:rPr>
          <w:lang w:val="en-CA"/>
        </w:rPr>
        <w:t xml:space="preserve">where </w:t>
      </w: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CW</m:t>
            </m:r>
          </m:sup>
        </m:sSubSup>
      </m:oMath>
      <w:r w:rsidRPr="00EC5244">
        <w:rPr>
          <w:lang w:val="en-CA"/>
        </w:rPr>
        <w:t xml:space="preserve"> and </w:t>
      </w: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CH</m:t>
            </m:r>
          </m:sup>
        </m:sSubSup>
      </m:oMath>
      <w:r w:rsidRPr="00EC5244">
        <w:rPr>
          <w:lang w:val="en-CA"/>
        </w:rPr>
        <w:t xml:space="preserve"> respectively express the </w:t>
      </w:r>
      <w:r w:rsidR="00471769" w:rsidRPr="00EC5244">
        <w:rPr>
          <w:lang w:val="en-CA"/>
        </w:rPr>
        <w:t>solute molar concentration in the water-rich</w:t>
      </w:r>
      <w:r w:rsidR="00E211FB" w:rsidRPr="00EC5244">
        <w:rPr>
          <w:lang w:val="en-CA"/>
        </w:rPr>
        <w:t xml:space="preserve"> and hydrotrope-rich phases (now being </w:t>
      </w:r>
      <w:r w:rsidR="00471769" w:rsidRPr="00EC5244">
        <w:rPr>
          <w:lang w:val="en-CA"/>
        </w:rPr>
        <w:t>viewed from the homogeneous solutions perspective</w:t>
      </w:r>
      <w:r w:rsidR="00E211FB" w:rsidRPr="00EC5244">
        <w:rPr>
          <w:lang w:val="en-CA"/>
        </w:rPr>
        <w:t>). What is important from now onwards</w:t>
      </w:r>
      <w:r w:rsidR="00471769" w:rsidRPr="00EC5244">
        <w:rPr>
          <w:lang w:val="en-CA"/>
        </w:rPr>
        <w:t xml:space="preserve"> is that </w:t>
      </w:r>
      <m:oMath>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BF</m:t>
            </m:r>
          </m:sup>
        </m:sSup>
      </m:oMath>
      <w:r w:rsidR="00471769" w:rsidRPr="00EC5244">
        <w:rPr>
          <w:lang w:val="en-CA"/>
        </w:rPr>
        <w:t xml:space="preserve"> remains a constant regardless of </w:t>
      </w:r>
      <m:oMath>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oMath>
      <w:r w:rsidR="00471769" w:rsidRPr="00EC5244">
        <w:rPr>
          <w:lang w:val="en-CA"/>
        </w:rPr>
        <w:t xml:space="preserve">. </w:t>
      </w:r>
    </w:p>
    <w:p w14:paraId="3E45AFEF" w14:textId="77777777" w:rsidR="002405B8" w:rsidRPr="00EC5244" w:rsidRDefault="002405B8" w:rsidP="002405B8">
      <w:pPr>
        <w:pStyle w:val="TAMainText"/>
        <w:ind w:firstLine="0"/>
        <w:rPr>
          <w:lang w:val="en-CA"/>
        </w:rPr>
      </w:pPr>
    </w:p>
    <w:p w14:paraId="7B069EB5" w14:textId="476CA469" w:rsidR="00EA168C" w:rsidRPr="00EC5244" w:rsidRDefault="00FC0470" w:rsidP="00471769">
      <w:pPr>
        <w:pStyle w:val="TAMainText"/>
        <w:rPr>
          <w:lang w:val="en-CA"/>
        </w:rPr>
      </w:pPr>
      <w:r w:rsidRPr="00EC5244">
        <w:rPr>
          <w:lang w:val="en-CA"/>
        </w:rPr>
        <w:t xml:space="preserve">Suppose </w:t>
      </w:r>
      <w:r w:rsidR="00471769" w:rsidRPr="00EC5244">
        <w:rPr>
          <w:lang w:val="en-CA"/>
        </w:rPr>
        <w:t xml:space="preserve">that </w:t>
      </w: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CH</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CW</m:t>
            </m:r>
          </m:sup>
        </m:sSubSup>
      </m:oMath>
      <w:r w:rsidR="00471769" w:rsidRPr="00EC5244">
        <w:rPr>
          <w:lang w:val="en-CA"/>
        </w:rPr>
        <w:t xml:space="preserve">, which is the case for biphasic solubilization. Above the hydrotrope concentration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CW</m:t>
            </m:r>
          </m:sup>
        </m:sSubSup>
      </m:oMath>
      <w:r w:rsidR="00471769" w:rsidRPr="00EC5244">
        <w:rPr>
          <w:lang w:val="en-CA"/>
        </w:rPr>
        <w:t>, the relative amount of the hydrotrope-rich phase increases according to Eq. (2).  S</w:t>
      </w:r>
      <w:r w:rsidRPr="00EC5244">
        <w:rPr>
          <w:lang w:val="en-CA"/>
        </w:rPr>
        <w:t xml:space="preserve">ince </w:t>
      </w:r>
      <m:oMath>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BF</m:t>
            </m:r>
          </m:sup>
        </m:sSup>
      </m:oMath>
      <w:r w:rsidR="00471769" w:rsidRPr="00EC5244">
        <w:rPr>
          <w:lang w:val="en-CA"/>
        </w:rPr>
        <w:t xml:space="preserve"> is </w:t>
      </w:r>
      <w:r w:rsidR="00E211FB" w:rsidRPr="00EC5244">
        <w:rPr>
          <w:lang w:val="en-CA"/>
        </w:rPr>
        <w:t xml:space="preserve">a </w:t>
      </w:r>
      <w:r w:rsidRPr="00EC5244">
        <w:rPr>
          <w:lang w:val="en-CA"/>
        </w:rPr>
        <w:t xml:space="preserve">constant, the more </w:t>
      </w:r>
      <w:r w:rsidR="00615B5C" w:rsidRPr="00EC5244">
        <w:rPr>
          <w:lang w:val="en-CA"/>
        </w:rPr>
        <w:t xml:space="preserve">the hydrotrope-rich phase </w:t>
      </w:r>
      <w:r w:rsidRPr="00EC5244">
        <w:rPr>
          <w:lang w:val="en-CA"/>
        </w:rPr>
        <w:t>there is the m</w:t>
      </w:r>
      <w:r w:rsidR="00471769" w:rsidRPr="00EC5244">
        <w:rPr>
          <w:lang w:val="en-CA"/>
        </w:rPr>
        <w:t xml:space="preserve">ore soluble the solute becomes. Hence solubilization, or the apparent partition coefficient can be expressed as </w:t>
      </w:r>
    </w:p>
    <w:p w14:paraId="5B77E33B" w14:textId="6FA22D9D" w:rsidR="00471769" w:rsidRPr="00EC5244" w:rsidRDefault="000C7FF6" w:rsidP="00CD7325">
      <w:pPr>
        <w:pStyle w:val="TAMainText"/>
        <w:rPr>
          <w:lang w:val="en-CA"/>
        </w:rPr>
      </w:pPr>
      <m:oMath>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app</m:t>
            </m:r>
          </m:sup>
        </m:sSup>
        <m:r>
          <w:rPr>
            <w:rFonts w:ascii="Cambria Math" w:hAnsi="Cambria Math"/>
            <w:lang w:val="en-CA"/>
          </w:rPr>
          <m:t>=R</m:t>
        </m:r>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BF</m:t>
            </m:r>
          </m:sup>
        </m:sSup>
        <m:r>
          <w:rPr>
            <w:rFonts w:ascii="Cambria Math" w:hAnsi="Cambria Math"/>
            <w:lang w:val="en-CA"/>
          </w:rPr>
          <m:t>=</m:t>
        </m:r>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BF</m:t>
            </m:r>
          </m:sup>
        </m:sSup>
        <m:r>
          <w:rPr>
            <w:rFonts w:ascii="Cambria Math" w:hAnsi="Cambria Math"/>
            <w:lang w:val="en-GB"/>
          </w:rPr>
          <m:t>R'</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L</m:t>
                </m:r>
              </m:num>
              <m:den>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r>
                  <w:rPr>
                    <w:rFonts w:ascii="Cambria Math" w:hAnsi="Cambria Math"/>
                    <w:lang w:val="en-CA"/>
                  </w:rPr>
                  <m: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den>
            </m:f>
            <m:r>
              <w:rPr>
                <w:rFonts w:ascii="Cambria Math" w:hAnsi="Cambria Math"/>
                <w:lang w:val="en-CA"/>
              </w:rPr>
              <m:t>-1</m:t>
            </m:r>
            <m:r>
              <m:rPr>
                <m:sty m:val="p"/>
              </m:rPr>
              <w:rPr>
                <w:rFonts w:ascii="Cambria Math" w:hAnsi="Cambria Math"/>
                <w:lang w:val="en-CA"/>
              </w:rPr>
              <m:t xml:space="preserve"> </m:t>
            </m:r>
          </m:e>
        </m:d>
      </m:oMath>
      <w:r w:rsidR="00471769" w:rsidRPr="00EC5244">
        <w:rPr>
          <w:lang w:val="en-CA"/>
        </w:rPr>
        <w:tab/>
      </w:r>
      <w:r w:rsidR="00471769" w:rsidRPr="00EC5244">
        <w:rPr>
          <w:lang w:val="en-CA"/>
        </w:rPr>
        <w:tab/>
      </w:r>
      <w:r w:rsidR="00471769" w:rsidRPr="00EC5244">
        <w:rPr>
          <w:lang w:val="en-CA"/>
        </w:rPr>
        <w:tab/>
      </w:r>
      <w:r w:rsidR="00471769" w:rsidRPr="00EC5244">
        <w:rPr>
          <w:lang w:val="en-CA"/>
        </w:rPr>
        <w:tab/>
      </w:r>
      <w:r w:rsidR="00471769" w:rsidRPr="00EC5244">
        <w:rPr>
          <w:lang w:val="en-CA"/>
        </w:rPr>
        <w:tab/>
      </w:r>
      <w:r w:rsidR="00471769" w:rsidRPr="00EC5244">
        <w:rPr>
          <w:lang w:val="en-CA"/>
        </w:rPr>
        <w:tab/>
      </w:r>
      <w:r w:rsidR="00471769" w:rsidRPr="00EC5244">
        <w:rPr>
          <w:lang w:val="en-CA"/>
        </w:rPr>
        <w:tab/>
        <w:t xml:space="preserve">(4) </w:t>
      </w:r>
    </w:p>
    <w:p w14:paraId="12E0AE04" w14:textId="77777777" w:rsidR="00CD7325" w:rsidRPr="00EC5244" w:rsidRDefault="00CD7325" w:rsidP="00CD7325">
      <w:pPr>
        <w:pStyle w:val="TAMainText"/>
        <w:ind w:firstLine="0"/>
        <w:rPr>
          <w:lang w:val="en-CA"/>
        </w:rPr>
      </w:pPr>
      <w:r w:rsidRPr="00EC5244">
        <w:rPr>
          <w:lang w:val="en-CA"/>
        </w:rPr>
        <w:t xml:space="preserve">and the total solubility can be expressed as </w:t>
      </w:r>
    </w:p>
    <w:p w14:paraId="42F9F1AA" w14:textId="5D5C3E3D" w:rsidR="00CD7325" w:rsidRPr="00EC5244" w:rsidRDefault="000C7FF6" w:rsidP="00CD7325">
      <w:pPr>
        <w:pStyle w:val="TAMainText"/>
        <w:ind w:firstLine="0"/>
        <w:rPr>
          <w:lang w:val="en-CA"/>
        </w:rPr>
      </w:pP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CW</m:t>
            </m:r>
          </m:sup>
        </m:sSubSup>
        <m:d>
          <m:dPr>
            <m:ctrlPr>
              <w:rPr>
                <w:rFonts w:ascii="Cambria Math" w:hAnsi="Cambria Math"/>
                <w:i/>
                <w:lang w:val="en-CA"/>
              </w:rPr>
            </m:ctrlPr>
          </m:dPr>
          <m:e>
            <m:r>
              <w:rPr>
                <w:rFonts w:ascii="Cambria Math" w:hAnsi="Cambria Math"/>
                <w:lang w:val="en-CA"/>
              </w:rPr>
              <m:t>1+</m:t>
            </m:r>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app</m:t>
                </m:r>
              </m:sup>
            </m:sSup>
          </m:e>
        </m:d>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CW</m:t>
            </m:r>
          </m:sup>
        </m:sSubSup>
        <m:d>
          <m:dPr>
            <m:begChr m:val="["/>
            <m:endChr m:val="]"/>
            <m:ctrlPr>
              <w:rPr>
                <w:rFonts w:ascii="Cambria Math" w:hAnsi="Cambria Math"/>
                <w:i/>
                <w:lang w:val="en-CA"/>
              </w:rPr>
            </m:ctrlPr>
          </m:dPr>
          <m:e>
            <m:r>
              <w:rPr>
                <w:rFonts w:ascii="Cambria Math" w:hAnsi="Cambria Math"/>
                <w:lang w:val="en-CA"/>
              </w:rPr>
              <m:t>1+</m:t>
            </m:r>
            <m:sSup>
              <m:sSupPr>
                <m:ctrlPr>
                  <w:rPr>
                    <w:rFonts w:ascii="Cambria Math" w:hAnsi="Cambria Math"/>
                    <w:i/>
                    <w:lang w:val="en-CA"/>
                  </w:rPr>
                </m:ctrlPr>
              </m:sSupPr>
              <m:e>
                <m:r>
                  <w:rPr>
                    <w:rFonts w:ascii="Cambria Math" w:hAnsi="Cambria Math"/>
                    <w:lang w:val="en-CA"/>
                  </w:rPr>
                  <m:t>K</m:t>
                </m:r>
              </m:e>
              <m:sup>
                <m:r>
                  <w:rPr>
                    <w:rFonts w:ascii="Cambria Math" w:hAnsi="Cambria Math"/>
                    <w:lang w:val="en-CA"/>
                  </w:rPr>
                  <m:t>BF</m:t>
                </m:r>
              </m:sup>
            </m:sSup>
            <m:r>
              <w:rPr>
                <w:rFonts w:ascii="Cambria Math" w:hAnsi="Cambria Math"/>
                <w:lang w:val="en-CA"/>
              </w:rPr>
              <m:t>R'</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L</m:t>
                    </m:r>
                  </m:num>
                  <m:den>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r>
                      <w:rPr>
                        <w:rFonts w:ascii="Cambria Math" w:hAnsi="Cambria Math"/>
                        <w:lang w:val="en-CA"/>
                      </w:rPr>
                      <m: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den>
                </m:f>
                <m:r>
                  <w:rPr>
                    <w:rFonts w:ascii="Cambria Math" w:hAnsi="Cambria Math"/>
                    <w:lang w:val="en-CA"/>
                  </w:rPr>
                  <m:t>-1</m:t>
                </m:r>
                <m:r>
                  <m:rPr>
                    <m:sty m:val="p"/>
                  </m:rPr>
                  <w:rPr>
                    <w:rFonts w:ascii="Cambria Math" w:hAnsi="Cambria Math"/>
                    <w:lang w:val="en-CA"/>
                  </w:rPr>
                  <m:t xml:space="preserve"> </m:t>
                </m:r>
              </m:e>
            </m:d>
          </m:e>
        </m:d>
      </m:oMath>
      <w:r w:rsidR="00CD7325" w:rsidRPr="00EC5244">
        <w:rPr>
          <w:lang w:val="en-CA"/>
        </w:rPr>
        <w:t xml:space="preserve">  </w:t>
      </w:r>
      <w:r w:rsidR="00CD7325" w:rsidRPr="00EC5244">
        <w:rPr>
          <w:lang w:val="en-CA"/>
        </w:rPr>
        <w:tab/>
      </w:r>
      <w:r w:rsidR="00CD7325" w:rsidRPr="00EC5244">
        <w:rPr>
          <w:lang w:val="en-CA"/>
        </w:rPr>
        <w:tab/>
      </w:r>
      <w:r w:rsidR="00CD7325" w:rsidRPr="00EC5244">
        <w:rPr>
          <w:lang w:val="en-CA"/>
        </w:rPr>
        <w:tab/>
      </w:r>
      <w:r w:rsidR="00CD7325" w:rsidRPr="00EC5244">
        <w:rPr>
          <w:lang w:val="en-CA"/>
        </w:rPr>
        <w:tab/>
      </w:r>
      <w:r w:rsidR="00CD7325" w:rsidRPr="00EC5244">
        <w:rPr>
          <w:lang w:val="en-CA"/>
        </w:rPr>
        <w:tab/>
      </w:r>
      <w:r w:rsidR="00CD7325" w:rsidRPr="00EC5244">
        <w:rPr>
          <w:lang w:val="en-CA"/>
        </w:rPr>
        <w:tab/>
        <w:t>(5)</w:t>
      </w:r>
    </w:p>
    <w:p w14:paraId="3F66E064" w14:textId="77777777" w:rsidR="007C079D" w:rsidRPr="00EC5244" w:rsidRDefault="007C079D" w:rsidP="00CD7325">
      <w:pPr>
        <w:pStyle w:val="TAMainText"/>
        <w:rPr>
          <w:color w:val="FF0000"/>
          <w:lang w:val="en-CA" w:eastAsia="ja-JP"/>
        </w:rPr>
      </w:pPr>
    </w:p>
    <w:p w14:paraId="3A9E2BF4" w14:textId="0AF39C7B" w:rsidR="00CD7325" w:rsidRPr="00EC5244" w:rsidRDefault="00CD7325" w:rsidP="00CD7325">
      <w:pPr>
        <w:pStyle w:val="TAMainText"/>
        <w:rPr>
          <w:lang w:val="en-CA"/>
        </w:rPr>
      </w:pPr>
      <w:r w:rsidRPr="00EC5244">
        <w:rPr>
          <w:lang w:val="en-CA"/>
        </w:rPr>
        <w:t xml:space="preserve">This aqueous biphasic system can also exhibit </w:t>
      </w:r>
      <w:r w:rsidR="00E211FB" w:rsidRPr="00EC5244">
        <w:rPr>
          <w:lang w:val="en-CA"/>
        </w:rPr>
        <w:t>what looks like cooperative solubilization, as can be seen from Eq. (5); a</w:t>
      </w:r>
      <w:r w:rsidRPr="00EC5244">
        <w:rPr>
          <w:lang w:val="en-CA"/>
        </w:rPr>
        <w:t xml:space="preserve"> sudden increase of solubility takes place when </w:t>
      </w:r>
      <m:oMath>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oMath>
      <w:r w:rsidRPr="00EC5244">
        <w:rPr>
          <w:lang w:val="en-CA"/>
        </w:rPr>
        <w:t xml:space="preserve"> approaches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2</m:t>
            </m:r>
          </m:sub>
          <m:sup>
            <m:r>
              <w:rPr>
                <w:rFonts w:ascii="Cambria Math" w:hAnsi="Cambria Math"/>
                <w:lang w:val="en-CA"/>
              </w:rPr>
              <m:t>CH</m:t>
            </m:r>
          </m:sup>
        </m:sSubSup>
      </m:oMath>
      <w:r w:rsidR="007C079D" w:rsidRPr="00EC5244">
        <w:rPr>
          <w:lang w:val="en-CA"/>
        </w:rPr>
        <w:t xml:space="preserve"> (</w:t>
      </w:r>
      <m:oMath>
        <m:r>
          <w:rPr>
            <w:rFonts w:ascii="Cambria Math" w:hAnsi="Cambria Math"/>
            <w:lang w:val="en-CA"/>
          </w:rPr>
          <m:t>R'</m:t>
        </m:r>
      </m:oMath>
      <w:r w:rsidR="007C079D" w:rsidRPr="00EC5244">
        <w:rPr>
          <w:lang w:val="en-CA"/>
        </w:rPr>
        <w:t xml:space="preserve"> is actually not a constant with respect to the change in </w:t>
      </w:r>
      <m:oMath>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oMath>
      <w:r w:rsidR="007C079D" w:rsidRPr="00EC5244">
        <w:rPr>
          <w:lang w:val="en-CA"/>
        </w:rPr>
        <w:t xml:space="preserve"> but varies only smoothly)</w:t>
      </w:r>
      <w:r w:rsidRPr="00EC5244">
        <w:rPr>
          <w:lang w:val="en-CA"/>
        </w:rPr>
        <w:t>. However, this mechanism is different from the hydrotropic cooperativity clarified for the small molecule hydrotropy (Section 3.1) and from m</w:t>
      </w:r>
      <w:r w:rsidR="008913D1" w:rsidRPr="00EC5244">
        <w:rPr>
          <w:lang w:val="en-CA"/>
        </w:rPr>
        <w:t>icellar hydrotropes (Section 4.1</w:t>
      </w:r>
      <w:r w:rsidR="00E211FB" w:rsidRPr="00EC5244">
        <w:rPr>
          <w:lang w:val="en-CA"/>
        </w:rPr>
        <w:t xml:space="preserve">), both of which indeed have cooperative hydrotrope interactions as the basis of cooperative solubilization. </w:t>
      </w:r>
    </w:p>
    <w:p w14:paraId="63B22AED" w14:textId="77777777" w:rsidR="00CD7325" w:rsidRPr="00EC5244" w:rsidRDefault="00CD7325" w:rsidP="00CD7325">
      <w:pPr>
        <w:pStyle w:val="TAMainText"/>
        <w:rPr>
          <w:lang w:val="en-CA"/>
        </w:rPr>
      </w:pPr>
    </w:p>
    <w:p w14:paraId="4035EE6E" w14:textId="4746D76B" w:rsidR="00B076C9" w:rsidRPr="00EC5244" w:rsidRDefault="00CD7325" w:rsidP="00283FBB">
      <w:pPr>
        <w:pStyle w:val="TAMainText"/>
        <w:ind w:firstLine="0"/>
        <w:rPr>
          <w:b/>
          <w:lang w:val="en-CA"/>
        </w:rPr>
      </w:pPr>
      <w:r w:rsidRPr="00EC5244">
        <w:rPr>
          <w:b/>
          <w:lang w:val="en-CA"/>
        </w:rPr>
        <w:t>4</w:t>
      </w:r>
      <w:r w:rsidR="00FA2F3A" w:rsidRPr="00EC5244">
        <w:rPr>
          <w:b/>
          <w:lang w:val="en-CA"/>
        </w:rPr>
        <w:t>. Hydrotropy in-</w:t>
      </w:r>
      <w:r w:rsidR="00B076C9" w:rsidRPr="00EC5244">
        <w:rPr>
          <w:b/>
          <w:lang w:val="en-CA"/>
        </w:rPr>
        <w:t xml:space="preserve">between </w:t>
      </w:r>
    </w:p>
    <w:p w14:paraId="0C96B017" w14:textId="77777777" w:rsidR="00B076C9" w:rsidRPr="00EC5244" w:rsidRDefault="00B076C9" w:rsidP="00283FBB">
      <w:pPr>
        <w:pStyle w:val="TAMainText"/>
        <w:ind w:firstLine="0"/>
        <w:rPr>
          <w:b/>
          <w:lang w:val="en-CA"/>
        </w:rPr>
      </w:pPr>
    </w:p>
    <w:p w14:paraId="0E04E030" w14:textId="53B6AD3D" w:rsidR="00865534" w:rsidRPr="00EC5244" w:rsidRDefault="00CD7325" w:rsidP="00283FBB">
      <w:pPr>
        <w:pStyle w:val="TAMainText"/>
        <w:ind w:firstLine="0"/>
        <w:rPr>
          <w:b/>
          <w:lang w:val="en-CA"/>
        </w:rPr>
      </w:pPr>
      <w:r w:rsidRPr="00EC5244">
        <w:rPr>
          <w:b/>
          <w:lang w:val="en-CA"/>
        </w:rPr>
        <w:t>4</w:t>
      </w:r>
      <w:r w:rsidR="00B076C9" w:rsidRPr="00EC5244">
        <w:rPr>
          <w:b/>
          <w:lang w:val="en-CA"/>
        </w:rPr>
        <w:t>.1</w:t>
      </w:r>
      <w:r w:rsidR="00234504" w:rsidRPr="00EC5244">
        <w:rPr>
          <w:b/>
          <w:lang w:val="en-CA"/>
        </w:rPr>
        <w:t xml:space="preserve">. Cooperativity in micellar </w:t>
      </w:r>
      <w:r w:rsidR="00EF48AC" w:rsidRPr="00EC5244">
        <w:rPr>
          <w:b/>
          <w:lang w:val="en-CA"/>
        </w:rPr>
        <w:t>hydrotropy / solubilization</w:t>
      </w:r>
    </w:p>
    <w:p w14:paraId="67A17856" w14:textId="77777777" w:rsidR="008038A4" w:rsidRPr="00EC5244" w:rsidRDefault="008038A4" w:rsidP="00283FBB">
      <w:pPr>
        <w:pStyle w:val="TAMainText"/>
        <w:ind w:firstLine="0"/>
        <w:rPr>
          <w:lang w:val="en-CA"/>
        </w:rPr>
      </w:pPr>
    </w:p>
    <w:p w14:paraId="4EB6A368" w14:textId="3A8511A5" w:rsidR="00865534" w:rsidRPr="00EC5244" w:rsidRDefault="004D4B3C" w:rsidP="00283FBB">
      <w:pPr>
        <w:pStyle w:val="TAMainText"/>
        <w:ind w:firstLine="0"/>
        <w:rPr>
          <w:lang w:val="en-CA"/>
        </w:rPr>
      </w:pPr>
      <w:r w:rsidRPr="00EC5244">
        <w:rPr>
          <w:lang w:val="en-CA"/>
        </w:rPr>
        <w:t>Since the analogy between hydrotropy and micellar solubilization has</w:t>
      </w:r>
      <w:r w:rsidR="00EF48AC" w:rsidRPr="00EC5244">
        <w:rPr>
          <w:lang w:val="en-CA"/>
        </w:rPr>
        <w:t xml:space="preserve"> often been invoked</w:t>
      </w:r>
      <w:r w:rsidRPr="00EC5244">
        <w:rPr>
          <w:lang w:val="en-CA"/>
        </w:rPr>
        <w:t>, h</w:t>
      </w:r>
      <w:r w:rsidR="00F02BE5" w:rsidRPr="00EC5244">
        <w:rPr>
          <w:lang w:val="en-CA"/>
        </w:rPr>
        <w:t xml:space="preserve">ere we consider </w:t>
      </w:r>
      <w:r w:rsidR="00CD7325" w:rsidRPr="00EC5244">
        <w:rPr>
          <w:lang w:val="en-CA"/>
        </w:rPr>
        <w:t xml:space="preserve">the </w:t>
      </w:r>
      <w:r w:rsidR="00F02BE5" w:rsidRPr="00EC5244">
        <w:rPr>
          <w:lang w:val="en-CA"/>
        </w:rPr>
        <w:t xml:space="preserve">solubilization of a solute by mono-disperse micelles, which means that we consider a solute molecule (as </w:t>
      </w:r>
      <w:r w:rsidR="00B97433" w:rsidRPr="00EC5244">
        <w:t xml:space="preserve">a source of </w:t>
      </w:r>
      <w:r w:rsidR="00F02BE5" w:rsidRPr="00EC5244">
        <w:rPr>
          <w:lang w:val="en-CA"/>
        </w:rPr>
        <w:t xml:space="preserve">an external field of an inhomogeneous solution) in a </w:t>
      </w:r>
      <w:r w:rsidR="004743D1" w:rsidRPr="00EC5244">
        <w:rPr>
          <w:lang w:val="en-CA"/>
        </w:rPr>
        <w:t>system comprised of water, micelle</w:t>
      </w:r>
      <w:r w:rsidR="00CD7325" w:rsidRPr="00EC5244">
        <w:rPr>
          <w:lang w:val="en-CA"/>
        </w:rPr>
        <w:t>,</w:t>
      </w:r>
      <w:r w:rsidR="004743D1" w:rsidRPr="00EC5244">
        <w:rPr>
          <w:lang w:val="en-CA"/>
        </w:rPr>
        <w:t xml:space="preserve"> and monomer.</w:t>
      </w:r>
      <w:r w:rsidR="006855FA" w:rsidRPr="00EC5244">
        <w:rPr>
          <w:lang w:val="en-CA"/>
        </w:rPr>
        <w:fldChar w:fldCharType="begin" w:fldLock="1"/>
      </w:r>
      <w:r w:rsidR="006855FA"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6855FA" w:rsidRPr="00EC5244">
        <w:rPr>
          <w:lang w:val="en-CA"/>
        </w:rPr>
        <w:fldChar w:fldCharType="separate"/>
      </w:r>
      <w:r w:rsidR="006855FA" w:rsidRPr="00EC5244">
        <w:rPr>
          <w:noProof/>
          <w:vertAlign w:val="superscript"/>
          <w:lang w:val="en-CA"/>
        </w:rPr>
        <w:t>10</w:t>
      </w:r>
      <w:r w:rsidR="006855FA" w:rsidRPr="00EC5244">
        <w:rPr>
          <w:lang w:val="en-CA"/>
        </w:rPr>
        <w:fldChar w:fldCharType="end"/>
      </w:r>
      <w:r w:rsidR="004743D1" w:rsidRPr="00EC5244">
        <w:rPr>
          <w:lang w:val="en-CA"/>
        </w:rPr>
        <w:t xml:space="preserve"> This means an effective three-component solution (</w:t>
      </w:r>
      <m:oMath>
        <m:r>
          <w:rPr>
            <w:rFonts w:ascii="Cambria Math" w:hAnsi="Cambria Math"/>
            <w:lang w:val="en-CA"/>
          </w:rPr>
          <m:t>C=3</m:t>
        </m:r>
      </m:oMath>
      <w:r w:rsidR="004743D1" w:rsidRPr="00EC5244">
        <w:rPr>
          <w:lang w:val="en-CA"/>
        </w:rPr>
        <w:t xml:space="preserve">) with one less degree of freedom due to micelle-monomer equilibrium; the solution is in a single phase. The degree of freedom therefore is </w:t>
      </w:r>
      <m:oMath>
        <m:r>
          <w:rPr>
            <w:rFonts w:ascii="Cambria Math" w:hAnsi="Cambria Math"/>
            <w:lang w:val="en-CA"/>
          </w:rPr>
          <m:t>F=</m:t>
        </m:r>
        <m:d>
          <m:dPr>
            <m:ctrlPr>
              <w:rPr>
                <w:rFonts w:ascii="Cambria Math" w:hAnsi="Cambria Math"/>
                <w:i/>
                <w:lang w:val="en-CA"/>
              </w:rPr>
            </m:ctrlPr>
          </m:dPr>
          <m:e>
            <m:r>
              <w:rPr>
                <w:rFonts w:ascii="Cambria Math" w:hAnsi="Cambria Math"/>
                <w:lang w:val="en-CA"/>
              </w:rPr>
              <m:t>C-P+2</m:t>
            </m:r>
          </m:e>
        </m:d>
        <m:r>
          <w:rPr>
            <w:rFonts w:ascii="Cambria Math" w:hAnsi="Cambria Math"/>
            <w:lang w:val="en-CA"/>
          </w:rPr>
          <m:t>-1=3</m:t>
        </m:r>
      </m:oMath>
      <w:r w:rsidR="008038A4" w:rsidRPr="00EC5244">
        <w:rPr>
          <w:lang w:val="en-CA"/>
        </w:rPr>
        <w:t>, which is the same as in the case of small molecule hydrotropes. This means that, under a constant temperature, pressure and concentration can be changed independently to modulate the solvation free energy of a solute. Two independent variables for the solvation free energy means that two KB integrals involving the solute can be determined:</w:t>
      </w:r>
      <w:r w:rsidR="006855FA" w:rsidRPr="00EC5244">
        <w:rPr>
          <w:lang w:val="en-CA"/>
        </w:rPr>
        <w:fldChar w:fldCharType="begin" w:fldLock="1"/>
      </w:r>
      <w:r w:rsidR="00A07779"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"mendeley" : { "formattedCitation" : "&lt;sup&gt;27&lt;/sup&gt;", "plainTextFormattedCitation" : "27", "previouslyFormattedCitation" : "&lt;sup&gt;27&lt;/sup&gt;" }, "properties" : { "noteIndex" : 0 }, "schema" : "https://github.com/citation-style-language/schema/raw/master/csl-citation.json" }</w:instrText>
      </w:r>
      <w:r w:rsidR="006855FA" w:rsidRPr="00EC5244">
        <w:rPr>
          <w:lang w:val="en-CA"/>
        </w:rPr>
        <w:fldChar w:fldCharType="separate"/>
      </w:r>
      <w:r w:rsidR="00A07779" w:rsidRPr="00EC5244">
        <w:rPr>
          <w:noProof/>
          <w:vertAlign w:val="superscript"/>
          <w:lang w:val="en-CA"/>
        </w:rPr>
        <w:t>27</w:t>
      </w:r>
      <w:r w:rsidR="006855FA" w:rsidRPr="00EC5244">
        <w:rPr>
          <w:lang w:val="en-CA"/>
        </w:rPr>
        <w:fldChar w:fldCharType="end"/>
      </w:r>
      <w:r w:rsidR="008038A4" w:rsidRPr="00EC5244">
        <w:rPr>
          <w:lang w:val="en-CA"/>
        </w:rPr>
        <w:t xml:space="preserve"> solute-water and solute-micelle KB integrals. </w:t>
      </w:r>
      <w:r w:rsidR="00B97433" w:rsidRPr="00EC5244">
        <w:rPr>
          <w:lang w:val="en-CA"/>
        </w:rPr>
        <w:t xml:space="preserve">In turn, this </w:t>
      </w:r>
      <w:r w:rsidR="00BF0D59" w:rsidRPr="00EC5244">
        <w:rPr>
          <w:lang w:val="en-CA"/>
        </w:rPr>
        <w:t xml:space="preserve">means, due to the monomer-micelle equilibrium, that solute-micelle and solute-monomer KB integrals cannot be determined independently. </w:t>
      </w:r>
    </w:p>
    <w:p w14:paraId="37159134" w14:textId="0421D6EC" w:rsidR="008038A4" w:rsidRPr="00EC5244" w:rsidRDefault="008038A4" w:rsidP="00283FBB">
      <w:pPr>
        <w:pStyle w:val="TAMainText"/>
        <w:ind w:firstLine="0"/>
        <w:rPr>
          <w:lang w:val="en-CA"/>
        </w:rPr>
      </w:pPr>
    </w:p>
    <w:p w14:paraId="4B0B7423" w14:textId="4BFD3D04" w:rsidR="00BC5BF5" w:rsidRPr="00EC5244" w:rsidRDefault="00EE3EC0" w:rsidP="00323160">
      <w:pPr>
        <w:pStyle w:val="TAMainText"/>
        <w:rPr>
          <w:lang w:val="en-CA"/>
        </w:rPr>
      </w:pPr>
      <w:r w:rsidRPr="00EC5244">
        <w:rPr>
          <w:lang w:val="en-CA"/>
        </w:rPr>
        <w:t>Consistent with the above argument based on the phase rule,</w:t>
      </w:r>
      <w:r w:rsidR="006855FA" w:rsidRPr="00EC5244">
        <w:rPr>
          <w:lang w:val="en-CA"/>
        </w:rPr>
        <w:fldChar w:fldCharType="begin" w:fldLock="1"/>
      </w:r>
      <w:r w:rsidR="00A07779"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"mendeley" : { "formattedCitation" : "&lt;sup&gt;27&lt;/sup&gt;", "plainTextFormattedCitation" : "27", "previouslyFormattedCitation" : "&lt;sup&gt;27&lt;/sup&gt;" }, "properties" : { "noteIndex" : 0 }, "schema" : "https://github.com/citation-style-language/schema/raw/master/csl-citation.json" }</w:instrText>
      </w:r>
      <w:r w:rsidR="006855FA" w:rsidRPr="00EC5244">
        <w:rPr>
          <w:lang w:val="en-CA"/>
        </w:rPr>
        <w:fldChar w:fldCharType="separate"/>
      </w:r>
      <w:r w:rsidR="00A07779" w:rsidRPr="00EC5244">
        <w:rPr>
          <w:noProof/>
          <w:vertAlign w:val="superscript"/>
          <w:lang w:val="en-CA"/>
        </w:rPr>
        <w:t>27</w:t>
      </w:r>
      <w:r w:rsidR="006855FA" w:rsidRPr="00EC5244">
        <w:rPr>
          <w:lang w:val="en-CA"/>
        </w:rPr>
        <w:fldChar w:fldCharType="end"/>
      </w:r>
      <w:r w:rsidRPr="00EC5244">
        <w:rPr>
          <w:lang w:val="en-CA"/>
        </w:rPr>
        <w:t xml:space="preserve"> we have derived the following relationship for micellar hydrotropy in our previous paper</w:t>
      </w:r>
      <w:r w:rsidR="006855FA" w:rsidRPr="00EC5244">
        <w:rPr>
          <w:lang w:val="en-CA"/>
        </w:rPr>
        <w:fldChar w:fldCharType="begin" w:fldLock="1"/>
      </w:r>
      <w:r w:rsidR="006855FA"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6855FA" w:rsidRPr="00EC5244">
        <w:rPr>
          <w:lang w:val="en-CA"/>
        </w:rPr>
        <w:fldChar w:fldCharType="separate"/>
      </w:r>
      <w:r w:rsidR="006855FA" w:rsidRPr="00EC5244">
        <w:rPr>
          <w:noProof/>
          <w:vertAlign w:val="superscript"/>
          <w:lang w:val="en-CA"/>
        </w:rPr>
        <w:t>10</w:t>
      </w:r>
      <w:r w:rsidR="006855FA" w:rsidRPr="00EC5244">
        <w:rPr>
          <w:lang w:val="en-CA"/>
        </w:rPr>
        <w:fldChar w:fldCharType="end"/>
      </w:r>
      <w:r w:rsidRPr="00EC5244">
        <w:rPr>
          <w:lang w:val="en-CA"/>
        </w:rPr>
        <w:t xml:space="preserve"> </w:t>
      </w:r>
    </w:p>
    <w:p w14:paraId="117346F9" w14:textId="76AEC2F4" w:rsidR="00BC5BF5" w:rsidRPr="00EC5244" w:rsidRDefault="000C7FF6" w:rsidP="00BC5BF5">
      <w:pPr>
        <w:pStyle w:val="TAMainText"/>
        <w:rPr>
          <w:rFonts w:cs="Times"/>
          <w:sz w:val="22"/>
          <w:szCs w:val="22"/>
          <w:lang w:val="en-CA" w:eastAsia="ja-JP"/>
        </w:rPr>
      </w:pPr>
      <m:oMath>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m:t>
            </m:r>
            <m:f>
              <m:fPr>
                <m:ctrlPr>
                  <w:rPr>
                    <w:rFonts w:ascii="Cambria Math" w:hAnsi="Cambria Math" w:cs="Times"/>
                    <w:i/>
                    <w:sz w:val="22"/>
                    <w:szCs w:val="22"/>
                    <w:lang w:val="en-CA" w:eastAsia="ja-JP"/>
                  </w:rPr>
                </m:ctrlPr>
              </m:fPr>
              <m:num>
                <m:r>
                  <w:rPr>
                    <w:rFonts w:ascii="Cambria Math" w:hAnsi="Cambria Math" w:cs="Times"/>
                    <w:sz w:val="22"/>
                    <w:szCs w:val="22"/>
                    <w:lang w:val="en-CA" w:eastAsia="ja-JP"/>
                  </w:rPr>
                  <m:t>1</m:t>
                </m:r>
              </m:num>
              <m:den>
                <m:r>
                  <w:rPr>
                    <w:rFonts w:ascii="Cambria Math" w:hAnsi="Cambria Math" w:cs="Times"/>
                    <w:sz w:val="22"/>
                    <w:szCs w:val="22"/>
                    <w:lang w:val="en-CA" w:eastAsia="ja-JP"/>
                  </w:rPr>
                  <m:t>RT</m:t>
                </m:r>
              </m:den>
            </m:f>
            <m:d>
              <m:dPr>
                <m:ctrlPr>
                  <w:rPr>
                    <w:rFonts w:ascii="Cambria Math" w:hAnsi="Cambria Math" w:cs="Times"/>
                    <w:i/>
                    <w:sz w:val="22"/>
                    <w:szCs w:val="22"/>
                    <w:lang w:val="en-CA" w:eastAsia="ja-JP"/>
                  </w:rPr>
                </m:ctrlPr>
              </m:dPr>
              <m:e>
                <m:f>
                  <m:fPr>
                    <m:ctrlPr>
                      <w:rPr>
                        <w:rFonts w:ascii="Cambria Math" w:hAnsi="Cambria Math" w:cs="Times"/>
                        <w:i/>
                        <w:sz w:val="22"/>
                        <w:szCs w:val="22"/>
                        <w:lang w:val="en-CA" w:eastAsia="ja-JP"/>
                      </w:rPr>
                    </m:ctrlPr>
                  </m:fPr>
                  <m:num>
                    <m:r>
                      <w:rPr>
                        <w:rFonts w:ascii="Cambria Math" w:hAnsi="Cambria Math" w:cs="Times"/>
                        <w:sz w:val="22"/>
                        <w:szCs w:val="22"/>
                        <w:lang w:val="en-CA" w:eastAsia="ja-JP"/>
                      </w:rPr>
                      <m:t>∂</m:t>
                    </m:r>
                    <m:sSubSup>
                      <m:sSubSupPr>
                        <m:ctrlPr>
                          <w:rPr>
                            <w:rFonts w:ascii="Cambria Math" w:hAnsi="Cambria Math" w:cs="Times"/>
                            <w:i/>
                            <w:sz w:val="22"/>
                            <w:szCs w:val="22"/>
                            <w:lang w:val="en-CA" w:eastAsia="ja-JP"/>
                          </w:rPr>
                        </m:ctrlPr>
                      </m:sSubSupPr>
                      <m:e>
                        <m:r>
                          <w:rPr>
                            <w:rFonts w:ascii="Cambria Math" w:hAnsi="Cambria Math" w:cs="Times"/>
                            <w:sz w:val="22"/>
                            <w:szCs w:val="22"/>
                            <w:lang w:val="en-CA" w:eastAsia="ja-JP"/>
                          </w:rPr>
                          <m:t>μ</m:t>
                        </m:r>
                      </m:e>
                      <m:sub>
                        <m:r>
                          <w:rPr>
                            <w:rFonts w:ascii="Cambria Math" w:hAnsi="Cambria Math" w:cs="Times"/>
                            <w:sz w:val="22"/>
                            <w:szCs w:val="22"/>
                            <w:lang w:val="en-CA" w:eastAsia="ja-JP"/>
                          </w:rPr>
                          <m:t>u</m:t>
                        </m:r>
                      </m:sub>
                      <m:sup>
                        <m:r>
                          <w:rPr>
                            <w:rFonts w:ascii="Cambria Math" w:hAnsi="Cambria Math" w:cs="Times"/>
                            <w:sz w:val="22"/>
                            <w:szCs w:val="22"/>
                            <w:lang w:val="en-CA" w:eastAsia="ja-JP"/>
                          </w:rPr>
                          <m:t>*</m:t>
                        </m:r>
                      </m:sup>
                    </m:sSubSup>
                  </m:num>
                  <m:den>
                    <m:r>
                      <w:rPr>
                        <w:rFonts w:ascii="Cambria Math" w:hAnsi="Cambria Math" w:cs="Times"/>
                        <w:sz w:val="22"/>
                        <w:szCs w:val="22"/>
                        <w:lang w:val="en-CA" w:eastAsia="ja-JP"/>
                      </w:rPr>
                      <m:t>∂</m:t>
                    </m:r>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c</m:t>
                        </m:r>
                      </m:e>
                      <m:sub>
                        <m:r>
                          <w:rPr>
                            <w:rFonts w:ascii="Cambria Math" w:hAnsi="Cambria Math" w:cs="Times"/>
                            <w:sz w:val="22"/>
                            <w:szCs w:val="22"/>
                            <w:lang w:val="en-CA" w:eastAsia="ja-JP"/>
                          </w:rPr>
                          <m:t>3</m:t>
                        </m:r>
                      </m:sub>
                    </m:sSub>
                  </m:den>
                </m:f>
              </m:e>
            </m:d>
          </m:e>
          <m:sub>
            <m:r>
              <w:rPr>
                <w:rFonts w:ascii="Cambria Math" w:hAnsi="Cambria Math" w:cs="Times"/>
                <w:sz w:val="22"/>
                <w:szCs w:val="22"/>
                <w:lang w:val="en-CA" w:eastAsia="ja-JP"/>
              </w:rPr>
              <m:t>T,P,</m:t>
            </m:r>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c</m:t>
                </m:r>
              </m:e>
              <m:sub>
                <m:r>
                  <w:rPr>
                    <w:rFonts w:ascii="Cambria Math" w:hAnsi="Cambria Math" w:cs="Times"/>
                    <w:sz w:val="22"/>
                    <w:szCs w:val="22"/>
                    <w:lang w:val="en-CA" w:eastAsia="ja-JP"/>
                  </w:rPr>
                  <m:t>u</m:t>
                </m:r>
              </m:sub>
            </m:sSub>
            <m:r>
              <w:rPr>
                <w:rFonts w:ascii="Cambria Math" w:hAnsi="Cambria Math" w:cs="Times"/>
                <w:sz w:val="22"/>
                <w:szCs w:val="22"/>
                <w:lang w:val="en-CA" w:eastAsia="ja-JP"/>
              </w:rPr>
              <m:t>→0</m:t>
            </m:r>
          </m:sub>
        </m:sSub>
        <m:r>
          <w:rPr>
            <w:rFonts w:ascii="Cambria Math" w:hAnsi="Cambria Math" w:cs="Times"/>
            <w:sz w:val="22"/>
            <w:szCs w:val="22"/>
            <w:lang w:val="en-CA" w:eastAsia="ja-JP"/>
          </w:rPr>
          <m:t>=</m:t>
        </m:r>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G</m:t>
            </m:r>
          </m:e>
          <m:sub>
            <m:r>
              <w:rPr>
                <w:rFonts w:ascii="Cambria Math" w:hAnsi="Cambria Math" w:cs="Times"/>
                <w:sz w:val="22"/>
                <w:szCs w:val="22"/>
                <w:lang w:val="en-CA" w:eastAsia="ja-JP"/>
              </w:rPr>
              <m:t>u3</m:t>
            </m:r>
          </m:sub>
        </m:sSub>
        <m:r>
          <w:rPr>
            <w:rFonts w:ascii="Cambria Math" w:hAnsi="Cambria Math" w:cs="Times"/>
            <w:sz w:val="22"/>
            <w:szCs w:val="22"/>
            <w:lang w:val="en-CA" w:eastAsia="ja-JP"/>
          </w:rPr>
          <m:t>-</m:t>
        </m:r>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G</m:t>
            </m:r>
          </m:e>
          <m:sub>
            <m:r>
              <w:rPr>
                <w:rFonts w:ascii="Cambria Math" w:hAnsi="Cambria Math" w:cs="Times"/>
                <w:sz w:val="22"/>
                <w:szCs w:val="22"/>
                <w:lang w:val="en-CA" w:eastAsia="ja-JP"/>
              </w:rPr>
              <m:t>u1</m:t>
            </m:r>
          </m:sub>
        </m:sSub>
      </m:oMath>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t>(6)</w:t>
      </w:r>
    </w:p>
    <w:p w14:paraId="50D74D72" w14:textId="71589ECE" w:rsidR="00EE3EC0" w:rsidRPr="00EC5244" w:rsidRDefault="00BC5BF5" w:rsidP="00BC5BF5">
      <w:pPr>
        <w:pStyle w:val="TAMainText"/>
        <w:ind w:firstLine="0"/>
        <w:rPr>
          <w:lang w:val="en-CA"/>
        </w:rPr>
      </w:pPr>
      <w:r w:rsidRPr="00EC5244">
        <w:rPr>
          <w:lang w:val="en-CA"/>
        </w:rPr>
        <w:t>where species 3 refer to the micelle. Eq. (6), derived under the condition that the surfactants are predominantly in the micellar form, shows that micellar solubilization is due to the stronger solute-micelle</w:t>
      </w:r>
      <w:r w:rsidR="00102DCF" w:rsidRPr="00EC5244">
        <w:rPr>
          <w:lang w:val="en-CA"/>
        </w:rPr>
        <w:t xml:space="preserve"> </w:t>
      </w:r>
      <w:r w:rsidRPr="00EC5244">
        <w:rPr>
          <w:lang w:val="en-CA"/>
        </w:rPr>
        <w:t>interaction compared to solute-water.</w:t>
      </w:r>
      <w:r w:rsidR="006855FA" w:rsidRPr="00EC5244">
        <w:rPr>
          <w:lang w:val="en-CA"/>
        </w:rPr>
        <w:fldChar w:fldCharType="begin" w:fldLock="1"/>
      </w:r>
      <w:r w:rsidR="006855FA"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6855FA" w:rsidRPr="00EC5244">
        <w:rPr>
          <w:lang w:val="en-CA"/>
        </w:rPr>
        <w:fldChar w:fldCharType="separate"/>
      </w:r>
      <w:r w:rsidR="006855FA" w:rsidRPr="00EC5244">
        <w:rPr>
          <w:noProof/>
          <w:vertAlign w:val="superscript"/>
          <w:lang w:val="en-CA"/>
        </w:rPr>
        <w:t>10</w:t>
      </w:r>
      <w:r w:rsidR="006855FA" w:rsidRPr="00EC5244">
        <w:rPr>
          <w:lang w:val="en-CA"/>
        </w:rPr>
        <w:fldChar w:fldCharType="end"/>
      </w:r>
      <w:r w:rsidRPr="00EC5244">
        <w:rPr>
          <w:lang w:val="en-CA"/>
        </w:rPr>
        <w:t xml:space="preserve"> But</w:t>
      </w:r>
      <w:r w:rsidR="00323160" w:rsidRPr="00EC5244">
        <w:rPr>
          <w:lang w:val="en-CA"/>
        </w:rPr>
        <w:t>,</w:t>
      </w:r>
      <w:r w:rsidRPr="00EC5244">
        <w:rPr>
          <w:lang w:val="en-CA"/>
        </w:rPr>
        <w:t xml:space="preserve"> in </w:t>
      </w:r>
      <w:r w:rsidR="00323160" w:rsidRPr="00EC5244">
        <w:rPr>
          <w:lang w:val="en-CA"/>
        </w:rPr>
        <w:t>the current analysis of experimental data,</w:t>
      </w:r>
      <w:r w:rsidRPr="00EC5244">
        <w:rPr>
          <w:lang w:val="en-CA"/>
        </w:rPr>
        <w:t xml:space="preserve"> surfactant concentration is commonly used instead of the micellar concentration. To confor</w:t>
      </w:r>
      <w:r w:rsidR="00323160" w:rsidRPr="00EC5244">
        <w:rPr>
          <w:lang w:val="en-CA"/>
        </w:rPr>
        <w:t>m to this common</w:t>
      </w:r>
      <w:r w:rsidRPr="00EC5244">
        <w:rPr>
          <w:lang w:val="en-CA"/>
        </w:rPr>
        <w:t xml:space="preserve"> practice, we introduce </w:t>
      </w:r>
      <w:r w:rsidR="00323160" w:rsidRPr="00EC5244">
        <w:rPr>
          <w:lang w:val="en-CA"/>
        </w:rPr>
        <w:t xml:space="preserve">here </w:t>
      </w:r>
      <w:r w:rsidRPr="00EC5244">
        <w:rPr>
          <w:lang w:val="en-CA"/>
        </w:rPr>
        <w:t xml:space="preserve">the total surfactant concentration </w:t>
      </w: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m:t>
            </m:r>
          </m:sup>
        </m:sSubSup>
        <m:r>
          <w:rPr>
            <w:rFonts w:ascii="Cambria Math" w:hAnsi="Cambria Math"/>
            <w:lang w:val="en-CA"/>
          </w:rPr>
          <m:t>≃m</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3</m:t>
            </m:r>
          </m:sub>
        </m:sSub>
      </m:oMath>
      <w:r w:rsidRPr="00EC5244">
        <w:rPr>
          <w:lang w:val="en-CA"/>
        </w:rPr>
        <w:t xml:space="preserve">, where </w:t>
      </w:r>
      <m:oMath>
        <m:r>
          <w:rPr>
            <w:rFonts w:ascii="Cambria Math" w:hAnsi="Cambria Math"/>
            <w:lang w:val="en-CA"/>
          </w:rPr>
          <m:t>m</m:t>
        </m:r>
      </m:oMath>
      <w:r w:rsidRPr="00EC5244">
        <w:rPr>
          <w:lang w:val="en-CA"/>
        </w:rPr>
        <w:t xml:space="preserve"> is the aggregation number. In this framework, Eq. (6) can be rewritten as</w:t>
      </w:r>
      <w:r w:rsidR="006855FA" w:rsidRPr="00EC5244">
        <w:rPr>
          <w:lang w:val="en-CA"/>
        </w:rPr>
        <w:fldChar w:fldCharType="begin" w:fldLock="1"/>
      </w:r>
      <w:r w:rsidR="006855FA"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6855FA" w:rsidRPr="00EC5244">
        <w:rPr>
          <w:lang w:val="en-CA"/>
        </w:rPr>
        <w:fldChar w:fldCharType="separate"/>
      </w:r>
      <w:r w:rsidR="006855FA" w:rsidRPr="00EC5244">
        <w:rPr>
          <w:noProof/>
          <w:vertAlign w:val="superscript"/>
          <w:lang w:val="en-CA"/>
        </w:rPr>
        <w:t>10</w:t>
      </w:r>
      <w:r w:rsidR="006855FA" w:rsidRPr="00EC5244">
        <w:rPr>
          <w:lang w:val="en-CA"/>
        </w:rPr>
        <w:fldChar w:fldCharType="end"/>
      </w:r>
      <w:r w:rsidRPr="00EC5244">
        <w:rPr>
          <w:lang w:val="en-CA"/>
        </w:rPr>
        <w:t xml:space="preserve"> </w:t>
      </w:r>
    </w:p>
    <w:p w14:paraId="198445E0" w14:textId="13D31DBF" w:rsidR="00BC5BF5" w:rsidRPr="00EC5244" w:rsidRDefault="000C7FF6" w:rsidP="00BC5BF5">
      <w:pPr>
        <w:pStyle w:val="TAMainText"/>
        <w:rPr>
          <w:rFonts w:cs="Times"/>
          <w:sz w:val="22"/>
          <w:szCs w:val="22"/>
          <w:lang w:val="en-CA" w:eastAsia="ja-JP"/>
        </w:rPr>
      </w:pPr>
      <m:oMath>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m:t>
            </m:r>
            <m:f>
              <m:fPr>
                <m:ctrlPr>
                  <w:rPr>
                    <w:rFonts w:ascii="Cambria Math" w:hAnsi="Cambria Math" w:cs="Times"/>
                    <w:i/>
                    <w:sz w:val="22"/>
                    <w:szCs w:val="22"/>
                    <w:lang w:val="en-CA" w:eastAsia="ja-JP"/>
                  </w:rPr>
                </m:ctrlPr>
              </m:fPr>
              <m:num>
                <m:r>
                  <w:rPr>
                    <w:rFonts w:ascii="Cambria Math" w:hAnsi="Cambria Math" w:cs="Times"/>
                    <w:sz w:val="22"/>
                    <w:szCs w:val="22"/>
                    <w:lang w:val="en-CA" w:eastAsia="ja-JP"/>
                  </w:rPr>
                  <m:t>1</m:t>
                </m:r>
              </m:num>
              <m:den>
                <m:r>
                  <w:rPr>
                    <w:rFonts w:ascii="Cambria Math" w:hAnsi="Cambria Math" w:cs="Times"/>
                    <w:sz w:val="22"/>
                    <w:szCs w:val="22"/>
                    <w:lang w:val="en-CA" w:eastAsia="ja-JP"/>
                  </w:rPr>
                  <m:t>RT</m:t>
                </m:r>
              </m:den>
            </m:f>
            <m:d>
              <m:dPr>
                <m:ctrlPr>
                  <w:rPr>
                    <w:rFonts w:ascii="Cambria Math" w:hAnsi="Cambria Math" w:cs="Times"/>
                    <w:i/>
                    <w:sz w:val="22"/>
                    <w:szCs w:val="22"/>
                    <w:lang w:val="en-CA" w:eastAsia="ja-JP"/>
                  </w:rPr>
                </m:ctrlPr>
              </m:dPr>
              <m:e>
                <m:f>
                  <m:fPr>
                    <m:ctrlPr>
                      <w:rPr>
                        <w:rFonts w:ascii="Cambria Math" w:hAnsi="Cambria Math" w:cs="Times"/>
                        <w:i/>
                        <w:sz w:val="22"/>
                        <w:szCs w:val="22"/>
                        <w:lang w:val="en-CA" w:eastAsia="ja-JP"/>
                      </w:rPr>
                    </m:ctrlPr>
                  </m:fPr>
                  <m:num>
                    <m:r>
                      <w:rPr>
                        <w:rFonts w:ascii="Cambria Math" w:hAnsi="Cambria Math" w:cs="Times"/>
                        <w:sz w:val="22"/>
                        <w:szCs w:val="22"/>
                        <w:lang w:val="en-CA" w:eastAsia="ja-JP"/>
                      </w:rPr>
                      <m:t>∂</m:t>
                    </m:r>
                    <m:sSubSup>
                      <m:sSubSupPr>
                        <m:ctrlPr>
                          <w:rPr>
                            <w:rFonts w:ascii="Cambria Math" w:hAnsi="Cambria Math" w:cs="Times"/>
                            <w:i/>
                            <w:sz w:val="22"/>
                            <w:szCs w:val="22"/>
                            <w:lang w:val="en-CA" w:eastAsia="ja-JP"/>
                          </w:rPr>
                        </m:ctrlPr>
                      </m:sSubSupPr>
                      <m:e>
                        <m:r>
                          <w:rPr>
                            <w:rFonts w:ascii="Cambria Math" w:hAnsi="Cambria Math" w:cs="Times"/>
                            <w:sz w:val="22"/>
                            <w:szCs w:val="22"/>
                            <w:lang w:val="en-CA" w:eastAsia="ja-JP"/>
                          </w:rPr>
                          <m:t>μ</m:t>
                        </m:r>
                      </m:e>
                      <m:sub>
                        <m:r>
                          <w:rPr>
                            <w:rFonts w:ascii="Cambria Math" w:hAnsi="Cambria Math" w:cs="Times"/>
                            <w:sz w:val="22"/>
                            <w:szCs w:val="22"/>
                            <w:lang w:val="en-CA" w:eastAsia="ja-JP"/>
                          </w:rPr>
                          <m:t>u</m:t>
                        </m:r>
                      </m:sub>
                      <m:sup>
                        <m:r>
                          <w:rPr>
                            <w:rFonts w:ascii="Cambria Math" w:hAnsi="Cambria Math" w:cs="Times"/>
                            <w:sz w:val="22"/>
                            <w:szCs w:val="22"/>
                            <w:lang w:val="en-CA" w:eastAsia="ja-JP"/>
                          </w:rPr>
                          <m:t>*</m:t>
                        </m:r>
                      </m:sup>
                    </m:sSubSup>
                  </m:num>
                  <m:den>
                    <m:r>
                      <w:rPr>
                        <w:rFonts w:ascii="Cambria Math" w:hAnsi="Cambria Math" w:cs="Times"/>
                        <w:sz w:val="22"/>
                        <w:szCs w:val="22"/>
                        <w:lang w:val="en-CA" w:eastAsia="ja-JP"/>
                      </w:rPr>
                      <m:t>∂</m:t>
                    </m:r>
                    <m:sSubSup>
                      <m:sSubSupPr>
                        <m:ctrlPr>
                          <w:rPr>
                            <w:rFonts w:ascii="Cambria Math" w:hAnsi="Cambria Math" w:cs="Times"/>
                            <w:i/>
                            <w:sz w:val="22"/>
                            <w:szCs w:val="22"/>
                            <w:lang w:val="en-CA" w:eastAsia="ja-JP"/>
                          </w:rPr>
                        </m:ctrlPr>
                      </m:sSubSupPr>
                      <m:e>
                        <m:r>
                          <w:rPr>
                            <w:rFonts w:ascii="Cambria Math" w:hAnsi="Cambria Math" w:cs="Times"/>
                            <w:sz w:val="22"/>
                            <w:szCs w:val="22"/>
                            <w:lang w:val="en-CA" w:eastAsia="ja-JP"/>
                          </w:rPr>
                          <m:t>c</m:t>
                        </m:r>
                      </m:e>
                      <m:sub>
                        <m:r>
                          <w:rPr>
                            <w:rFonts w:ascii="Cambria Math" w:hAnsi="Cambria Math" w:cs="Times"/>
                            <w:sz w:val="22"/>
                            <w:szCs w:val="22"/>
                            <w:lang w:val="en-CA" w:eastAsia="ja-JP"/>
                          </w:rPr>
                          <m:t>2</m:t>
                        </m:r>
                      </m:sub>
                      <m:sup>
                        <m:r>
                          <w:rPr>
                            <w:rFonts w:ascii="Cambria Math" w:hAnsi="Cambria Math" w:cs="Times"/>
                            <w:sz w:val="22"/>
                            <w:szCs w:val="22"/>
                            <w:lang w:val="en-CA" w:eastAsia="ja-JP"/>
                          </w:rPr>
                          <m:t>'</m:t>
                        </m:r>
                      </m:sup>
                    </m:sSubSup>
                  </m:den>
                </m:f>
              </m:e>
            </m:d>
          </m:e>
          <m:sub>
            <m:r>
              <w:rPr>
                <w:rFonts w:ascii="Cambria Math" w:hAnsi="Cambria Math" w:cs="Times"/>
                <w:sz w:val="22"/>
                <w:szCs w:val="22"/>
                <w:lang w:val="en-CA" w:eastAsia="ja-JP"/>
              </w:rPr>
              <m:t>T,P,</m:t>
            </m:r>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c</m:t>
                </m:r>
              </m:e>
              <m:sub>
                <m:r>
                  <w:rPr>
                    <w:rFonts w:ascii="Cambria Math" w:hAnsi="Cambria Math" w:cs="Times"/>
                    <w:sz w:val="22"/>
                    <w:szCs w:val="22"/>
                    <w:lang w:val="en-CA" w:eastAsia="ja-JP"/>
                  </w:rPr>
                  <m:t>u</m:t>
                </m:r>
              </m:sub>
            </m:sSub>
            <m:r>
              <w:rPr>
                <w:rFonts w:ascii="Cambria Math" w:hAnsi="Cambria Math" w:cs="Times"/>
                <w:sz w:val="22"/>
                <w:szCs w:val="22"/>
                <w:lang w:val="en-CA" w:eastAsia="ja-JP"/>
              </w:rPr>
              <m:t>→0</m:t>
            </m:r>
          </m:sub>
        </m:sSub>
        <m:r>
          <w:rPr>
            <w:rFonts w:ascii="Cambria Math" w:hAnsi="Cambria Math" w:cs="Times"/>
            <w:sz w:val="22"/>
            <w:szCs w:val="22"/>
            <w:lang w:val="en-CA" w:eastAsia="ja-JP"/>
          </w:rPr>
          <m:t>=</m:t>
        </m:r>
        <m:f>
          <m:fPr>
            <m:ctrlPr>
              <w:rPr>
                <w:rFonts w:ascii="Cambria Math" w:hAnsi="Cambria Math" w:cs="Times"/>
                <w:i/>
                <w:sz w:val="22"/>
                <w:szCs w:val="22"/>
                <w:lang w:val="en-CA" w:eastAsia="ja-JP"/>
              </w:rPr>
            </m:ctrlPr>
          </m:fPr>
          <m:num>
            <m:r>
              <w:rPr>
                <w:rFonts w:ascii="Cambria Math" w:hAnsi="Cambria Math" w:cs="Times"/>
                <w:sz w:val="22"/>
                <w:szCs w:val="22"/>
                <w:lang w:val="en-CA" w:eastAsia="ja-JP"/>
              </w:rPr>
              <m:t>1</m:t>
            </m:r>
          </m:num>
          <m:den>
            <m:r>
              <w:rPr>
                <w:rFonts w:ascii="Cambria Math" w:hAnsi="Cambria Math" w:cs="Times"/>
                <w:sz w:val="22"/>
                <w:szCs w:val="22"/>
                <w:lang w:val="en-CA" w:eastAsia="ja-JP"/>
              </w:rPr>
              <m:t>m</m:t>
            </m:r>
          </m:den>
        </m:f>
        <m:d>
          <m:dPr>
            <m:ctrlPr>
              <w:rPr>
                <w:rFonts w:ascii="Cambria Math" w:hAnsi="Cambria Math" w:cs="Times"/>
                <w:i/>
                <w:sz w:val="22"/>
                <w:szCs w:val="22"/>
                <w:lang w:val="en-CA" w:eastAsia="ja-JP"/>
              </w:rPr>
            </m:ctrlPr>
          </m:dPr>
          <m:e>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G</m:t>
                </m:r>
              </m:e>
              <m:sub>
                <m:r>
                  <w:rPr>
                    <w:rFonts w:ascii="Cambria Math" w:hAnsi="Cambria Math" w:cs="Times"/>
                    <w:sz w:val="22"/>
                    <w:szCs w:val="22"/>
                    <w:lang w:val="en-CA" w:eastAsia="ja-JP"/>
                  </w:rPr>
                  <m:t>u3</m:t>
                </m:r>
              </m:sub>
            </m:sSub>
            <m:r>
              <w:rPr>
                <w:rFonts w:ascii="Cambria Math" w:hAnsi="Cambria Math" w:cs="Times"/>
                <w:sz w:val="22"/>
                <w:szCs w:val="22"/>
                <w:lang w:val="en-CA" w:eastAsia="ja-JP"/>
              </w:rPr>
              <m:t>-</m:t>
            </m:r>
            <m:sSub>
              <m:sSubPr>
                <m:ctrlPr>
                  <w:rPr>
                    <w:rFonts w:ascii="Cambria Math" w:hAnsi="Cambria Math" w:cs="Times"/>
                    <w:i/>
                    <w:sz w:val="22"/>
                    <w:szCs w:val="22"/>
                    <w:lang w:val="en-CA" w:eastAsia="ja-JP"/>
                  </w:rPr>
                </m:ctrlPr>
              </m:sSubPr>
              <m:e>
                <m:r>
                  <w:rPr>
                    <w:rFonts w:ascii="Cambria Math" w:hAnsi="Cambria Math" w:cs="Times"/>
                    <w:sz w:val="22"/>
                    <w:szCs w:val="22"/>
                    <w:lang w:val="en-CA" w:eastAsia="ja-JP"/>
                  </w:rPr>
                  <m:t>G</m:t>
                </m:r>
              </m:e>
              <m:sub>
                <m:r>
                  <w:rPr>
                    <w:rFonts w:ascii="Cambria Math" w:hAnsi="Cambria Math" w:cs="Times"/>
                    <w:sz w:val="22"/>
                    <w:szCs w:val="22"/>
                    <w:lang w:val="en-CA" w:eastAsia="ja-JP"/>
                  </w:rPr>
                  <m:t>u1</m:t>
                </m:r>
              </m:sub>
            </m:sSub>
          </m:e>
        </m:d>
      </m:oMath>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r>
      <w:r w:rsidR="00BC5BF5" w:rsidRPr="00EC5244">
        <w:rPr>
          <w:rFonts w:cs="Times"/>
          <w:sz w:val="22"/>
          <w:szCs w:val="22"/>
          <w:lang w:val="en-CA" w:eastAsia="ja-JP"/>
        </w:rPr>
        <w:tab/>
        <w:t>(7)</w:t>
      </w:r>
    </w:p>
    <w:p w14:paraId="79FDF611" w14:textId="29A80065" w:rsidR="00BC5BF5" w:rsidRPr="00EC5244" w:rsidRDefault="00BC5BF5" w:rsidP="00BC5BF5">
      <w:pPr>
        <w:pStyle w:val="TAMainText"/>
        <w:ind w:firstLine="0"/>
        <w:rPr>
          <w:lang w:val="en-CA"/>
        </w:rPr>
      </w:pPr>
      <w:r w:rsidRPr="00EC5244">
        <w:rPr>
          <w:lang w:val="en-CA"/>
        </w:rPr>
        <w:t xml:space="preserve">Here, solubilization viewed in terms of the </w:t>
      </w:r>
      <w:r w:rsidR="002B6B56" w:rsidRPr="00EC5244">
        <w:rPr>
          <w:lang w:val="en-CA"/>
        </w:rPr>
        <w:t xml:space="preserve">surfactant </w:t>
      </w:r>
      <w:r w:rsidRPr="00EC5244">
        <w:rPr>
          <w:lang w:val="en-CA"/>
        </w:rPr>
        <w:t xml:space="preserve">concentration contains </w:t>
      </w:r>
      <m:oMath>
        <m:f>
          <m:fPr>
            <m:ctrlPr>
              <w:rPr>
                <w:rFonts w:ascii="Cambria Math" w:hAnsi="Cambria Math"/>
                <w:i/>
                <w:lang w:val="en-CA"/>
              </w:rPr>
            </m:ctrlPr>
          </m:fPr>
          <m:num>
            <m:r>
              <w:rPr>
                <w:rFonts w:ascii="Cambria Math" w:hAnsi="Cambria Math"/>
                <w:lang w:val="en-CA"/>
              </w:rPr>
              <m:t>1</m:t>
            </m:r>
          </m:num>
          <m:den>
            <m:r>
              <w:rPr>
                <w:rFonts w:ascii="Cambria Math" w:hAnsi="Cambria Math"/>
                <w:lang w:val="en-CA"/>
              </w:rPr>
              <m:t>m</m:t>
            </m:r>
          </m:den>
        </m:f>
      </m:oMath>
      <w:r w:rsidRPr="00EC5244">
        <w:rPr>
          <w:lang w:val="en-CA"/>
        </w:rPr>
        <w:t>, which refers to the effective reduction in the number of hydrotrope</w:t>
      </w:r>
      <w:r w:rsidR="002B6B56" w:rsidRPr="00EC5244">
        <w:rPr>
          <w:lang w:val="en-CA"/>
        </w:rPr>
        <w:t>s</w:t>
      </w:r>
      <w:r w:rsidRPr="00EC5244">
        <w:rPr>
          <w:lang w:val="en-CA"/>
        </w:rPr>
        <w:t>, hence is an apparent inefficiency due to micellization.</w:t>
      </w:r>
      <w:r w:rsidR="006855FA" w:rsidRPr="00EC5244">
        <w:rPr>
          <w:lang w:val="en-CA"/>
        </w:rPr>
        <w:fldChar w:fldCharType="begin" w:fldLock="1"/>
      </w:r>
      <w:r w:rsidR="006855FA"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6855FA" w:rsidRPr="00EC5244">
        <w:rPr>
          <w:lang w:val="en-CA"/>
        </w:rPr>
        <w:fldChar w:fldCharType="separate"/>
      </w:r>
      <w:r w:rsidR="006855FA" w:rsidRPr="00EC5244">
        <w:rPr>
          <w:noProof/>
          <w:vertAlign w:val="superscript"/>
          <w:lang w:val="en-CA"/>
        </w:rPr>
        <w:t>10</w:t>
      </w:r>
      <w:r w:rsidR="006855FA" w:rsidRPr="00EC5244">
        <w:rPr>
          <w:lang w:val="en-CA"/>
        </w:rPr>
        <w:fldChar w:fldCharType="end"/>
      </w:r>
      <w:r w:rsidRPr="00EC5244">
        <w:rPr>
          <w:lang w:val="en-CA"/>
        </w:rPr>
        <w:t xml:space="preserve"> However, the large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u3</m:t>
            </m:r>
          </m:sub>
        </m:sSub>
      </m:oMath>
      <w:r w:rsidRPr="00EC5244">
        <w:rPr>
          <w:lang w:val="en-CA"/>
        </w:rPr>
        <w:t xml:space="preserve"> more than compensates this factor, making many micellar hydrotropes effective solubilizers.</w:t>
      </w:r>
      <w:r w:rsidR="006855FA" w:rsidRPr="00EC5244">
        <w:rPr>
          <w:lang w:val="en-CA"/>
        </w:rPr>
        <w:fldChar w:fldCharType="begin" w:fldLock="1"/>
      </w:r>
      <w:r w:rsidR="006855FA"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6855FA" w:rsidRPr="00EC5244">
        <w:rPr>
          <w:lang w:val="en-CA"/>
        </w:rPr>
        <w:fldChar w:fldCharType="separate"/>
      </w:r>
      <w:r w:rsidR="006855FA" w:rsidRPr="00EC5244">
        <w:rPr>
          <w:noProof/>
          <w:vertAlign w:val="superscript"/>
          <w:lang w:val="en-CA"/>
        </w:rPr>
        <w:t>10</w:t>
      </w:r>
      <w:r w:rsidR="006855FA" w:rsidRPr="00EC5244">
        <w:rPr>
          <w:lang w:val="en-CA"/>
        </w:rPr>
        <w:fldChar w:fldCharType="end"/>
      </w:r>
      <w:r w:rsidRPr="00EC5244">
        <w:rPr>
          <w:lang w:val="en-CA"/>
        </w:rPr>
        <w:t xml:space="preserve"> </w:t>
      </w:r>
    </w:p>
    <w:p w14:paraId="201F7A22" w14:textId="77777777" w:rsidR="00EE3EC0" w:rsidRPr="00EC5244" w:rsidRDefault="00EE3EC0" w:rsidP="00283FBB">
      <w:pPr>
        <w:pStyle w:val="TAMainText"/>
        <w:ind w:firstLine="0"/>
        <w:rPr>
          <w:lang w:val="en-CA"/>
        </w:rPr>
      </w:pPr>
    </w:p>
    <w:p w14:paraId="68C020E5" w14:textId="5AC59CD7" w:rsidR="00657636" w:rsidRPr="00EC5244" w:rsidRDefault="00B3619E" w:rsidP="00657636">
      <w:pPr>
        <w:pStyle w:val="TAMainText"/>
        <w:rPr>
          <w:lang w:val="en-CA"/>
        </w:rPr>
      </w:pPr>
      <w:r w:rsidRPr="00EC5244">
        <w:rPr>
          <w:lang w:val="en-CA"/>
        </w:rPr>
        <w:t>An important task unfulfilled in our previous work is the link between Eq. (7) and the classical f</w:t>
      </w:r>
      <w:r w:rsidR="00444FD8" w:rsidRPr="00EC5244">
        <w:rPr>
          <w:lang w:val="en-CA"/>
        </w:rPr>
        <w:t>ramework of micellar solubilization</w:t>
      </w:r>
      <w:r w:rsidRPr="00EC5244">
        <w:rPr>
          <w:lang w:val="en-CA"/>
        </w:rPr>
        <w:t xml:space="preserve">, namely </w:t>
      </w:r>
      <w:r w:rsidR="004A728B" w:rsidRPr="00EC5244">
        <w:rPr>
          <w:lang w:val="en-CA"/>
        </w:rPr>
        <w:t xml:space="preserve">the </w:t>
      </w:r>
      <w:r w:rsidR="008D1FC8" w:rsidRPr="00EC5244">
        <w:rPr>
          <w:lang w:val="en-CA"/>
        </w:rPr>
        <w:t xml:space="preserve">molar </w:t>
      </w:r>
      <w:r w:rsidR="004A728B" w:rsidRPr="00EC5244">
        <w:rPr>
          <w:lang w:val="en-CA"/>
        </w:rPr>
        <w:t>micelle-water partition coefficient</w:t>
      </w:r>
      <w:r w:rsidRPr="00EC5244">
        <w:rPr>
          <w:lang w:val="en-CA"/>
        </w:rPr>
        <w:t xml:space="preserve"> </w:t>
      </w: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oMath>
      <w:r w:rsidR="00657636" w:rsidRPr="00EC5244">
        <w:rPr>
          <w:lang w:val="en-CA"/>
        </w:rPr>
        <w:t xml:space="preserve"> </w:t>
      </w:r>
      <w:r w:rsidRPr="00EC5244">
        <w:rPr>
          <w:lang w:val="en-CA"/>
        </w:rPr>
        <w:t>and m</w:t>
      </w:r>
      <w:r w:rsidR="00657636" w:rsidRPr="00EC5244">
        <w:rPr>
          <w:lang w:val="en-CA"/>
        </w:rPr>
        <w:t xml:space="preserve">olar solubilization coefficient </w:t>
      </w:r>
      <m:oMath>
        <m:r>
          <w:rPr>
            <w:rFonts w:ascii="Cambria Math" w:hAnsi="Cambria Math"/>
            <w:lang w:val="en-CA"/>
          </w:rPr>
          <m:t>κ</m:t>
        </m:r>
      </m:oMath>
      <w:r w:rsidRPr="00EC5244">
        <w:rPr>
          <w:lang w:val="en-CA"/>
        </w:rPr>
        <w:t>.</w:t>
      </w:r>
      <w:r w:rsidR="006855FA" w:rsidRPr="00EC5244">
        <w:rPr>
          <w:lang w:val="en-CA"/>
        </w:rPr>
        <w:fldChar w:fldCharType="begin" w:fldLock="1"/>
      </w:r>
      <w:r w:rsidR="0039109D" w:rsidRPr="00EC5244">
        <w:rPr>
          <w:lang w:val="en-CA"/>
        </w:rPr>
        <w:instrText>ADDIN CSL_CITATION { "citationItems" : [ { "id" : "ITEM-1", "itemData" : { "DOI" : "10.1007/978-94-009-5775-6_5", "author" : [ { "dropping-particle" : "", "family" : "Attwood", "given" : "D.", "non-dropping-particle" : "", "parse-names" : false, "suffix" : "" }, { "dropping-particle" : "", "family" : "Florence", "given" : "A. T.", "non-dropping-particle" : "", "parse-names" : false, "suffix" : "" } ], "container-title" : "Surfactant Systems", "id" : "ITEM-1", "issued" : { "date-parts" : [ [ "1983" ] ] }, "page" : "229-292", "publisher" : "Springer Netherlands", "publisher-place" : "Dordrecht", "title" : "Solubilization", "type" : "chapter" }, "uris" : [ "http://www.mendeley.com/documents/?uuid=563f9364-c5df-39f1-b5e4-bade58de6d90" ] }, { "id" : "ITEM-2", "itemData" : { "DOI" : "10.1016/S0378-5173(00)00386-0", "ISSN" : "03785173", "PMID" : "10867251", "abstract" : "The molar solubilization capacities (??) and the molar micelle-water partition coefficients (K(M)(N)) in Polysorbate 80 of several drugs (including barbiturates, steroids, and benzoic acid derivatives) are related to their log octanol-water partition coefficients (logP). Both ?? and K(M)(N) values were calculated from solubility versus Polysorbate 80 concentration profiles, which were either experimentally determined or obtained from the literature. There is a linear relationship between logP of the tested compounds and the logarithm of the molar micelle-water partition coefficient (logK(M)(N)). On the other hand molar solubilization capacities are nearly independent of logP. It is shown that the ability of Polysorbate 80 to solubilize a drug can be predicted from its logP value. Copyright (C) 2000 Elsevier Science B.V.", "author" : [ { "dropping-particle" : "", "family" : "Alvarez-N\u00fa\u00f1ez", "given" : "F. A.", "non-dropping-particle" : "", "parse-names" : false, "suffix" : "" }, { "dropping-particle" : "", "family" : "Yalkowsky", "given" : "S. H.", "non-dropping-particle" : "", "parse-names" : false, "suffix" : "" } ], "container-title" : "International Journal of Pharmaceutics", "id" : "ITEM-2", "issue" : "2", "issued" : { "date-parts" : [ [ "2000" ] ] }, "page" : "217-222", "title" : "Relationship between Polysorbate 80 solubilization descriptors and octanol-water partition coefficients of drugs", "type" : "article-journal", "volume" : "200" }, "uris" : [ "http://www.mendeley.com/documents/?uuid=5d4381f1-b1ac-4f61-b0d3-1260484f5d19" ] }, { "id" : "ITEM-3", "itemData" : { "abstract" : "PURPOSE: Micellar solubilization is a pow-erful alternative for dissolving hydrophobic drugs in aqueous environments. In this work, we provide an insight into this subject. METHODS: A concise review of surfactants and micelles applications in phar-macy was carried out. RESULTS: Initially, a descrip-tion of surfactants and aqueous micellar systems is presented. Following, an extensive review on micellar drug solubilization, including both the principles involved on this phenomenon and the work already done regarding solubilization of drugs by micelles is presented. The application of micelles in drug delivery, in order to minimize drug degradation and loss, to pre-vent harmful side effects, and to increase drug bioavail-ability, is also presented. Special emphasis is given to the more recent use of polymeric micelles. Finally, we briefly discuss the importance of surfactants and micelles as biological systems models as well as its application in micellar catalysis. CONCLUSIONS: As can be seen from the review presented, the use of micelles in pharmacy is an important tool that finds numerous applications.", "author" : [ { "dropping-particle" : "", "family" : "Oliveira", "given" : "Carlota", "non-dropping-particle" : "De", "parse-names" : false, "suffix" : "" }, { "dropping-particle" : "", "family" : "Yagui", "given" : "Rangel", "non-dropping-particle" : "", "parse-names" : false, "suffix" : "" }, { "dropping-particle" : "", "family" : "Lineu Prestes", "given" : "Av", "non-dropping-particle" : "", "parse-names" : false, "suffix" : "" }, { "dropping-particle" : "", "family" : "Rangel-Yagui", "given" : "Carlota O", "non-dropping-particle" : "", "parse-names" : false, "suffix" : "" }, { "dropping-particle" : "", "family" : "Pessoa-Jr", "given" : "Adalberto", "non-dropping-particle" : "", "parse-names" : false, "suffix" : "" }, { "dropping-particle" : "", "family" : "Tavares", "given" : "Leoberto Costa", "non-dropping-particle" : "", "parse-names" : false, "suffix" : "" } ], "container-title" : "J Pharm Pharmaceut Sci (www.cspscanada.org)", "id" : "ITEM-3", "issue" : "2", "issued" : { "date-parts" : [ [ "2005" ] ] }, "page" : "147-163", "title" : "Micellar solubilization of drugs", "type" : "article-journal", "volume" : "8" }, "uris" : [ "http://www.mendeley.com/documents/?uuid=d0113e2b-dff8-3380-95eb-ce76cebe0d00" ] } ], "mendeley" : { "formattedCitation" : "&lt;sup&gt;42\u201344&lt;/sup&gt;", "plainTextFormattedCitation" : "42\u201344", "previouslyFormattedCitation" : "&lt;sup&gt;42\u201344&lt;/sup&gt;" }, "properties" : { "noteIndex" : 0 }, "schema" : "https://github.com/citation-style-language/schema/raw/master/csl-citation.json" }</w:instrText>
      </w:r>
      <w:r w:rsidR="006855FA" w:rsidRPr="00EC5244">
        <w:rPr>
          <w:lang w:val="en-CA"/>
        </w:rPr>
        <w:fldChar w:fldCharType="separate"/>
      </w:r>
      <w:r w:rsidR="0039109D" w:rsidRPr="00EC5244">
        <w:rPr>
          <w:noProof/>
          <w:vertAlign w:val="superscript"/>
          <w:lang w:val="en-CA"/>
        </w:rPr>
        <w:t>42–44</w:t>
      </w:r>
      <w:r w:rsidR="006855FA" w:rsidRPr="00EC5244">
        <w:rPr>
          <w:lang w:val="en-CA"/>
        </w:rPr>
        <w:fldChar w:fldCharType="end"/>
      </w:r>
      <w:r w:rsidRPr="00EC5244">
        <w:rPr>
          <w:lang w:val="en-CA"/>
        </w:rPr>
        <w:t xml:space="preserve"> Our aim here is threefold: (1) </w:t>
      </w:r>
      <w:r w:rsidR="00657636" w:rsidRPr="00EC5244">
        <w:rPr>
          <w:lang w:val="en-CA"/>
        </w:rPr>
        <w:t xml:space="preserve">to show how the classical framework can be interpreted in terms of the KB theory; (2) to clarify the true molecular picture behind </w:t>
      </w: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oMath>
      <w:r w:rsidR="00657636" w:rsidRPr="00EC5244">
        <w:rPr>
          <w:lang w:val="en-CA"/>
        </w:rPr>
        <w:t xml:space="preserve"> and </w:t>
      </w:r>
      <m:oMath>
        <m:r>
          <w:rPr>
            <w:rFonts w:ascii="Cambria Math" w:hAnsi="Cambria Math"/>
            <w:lang w:val="en-CA"/>
          </w:rPr>
          <m:t>κ</m:t>
        </m:r>
      </m:oMath>
      <w:r w:rsidR="00657636" w:rsidRPr="00EC5244">
        <w:rPr>
          <w:lang w:val="en-CA"/>
        </w:rPr>
        <w:t xml:space="preserve">; (3) to clarify the difference between micelle-water partition coefficient and the biphasic partition coefficient. </w:t>
      </w:r>
    </w:p>
    <w:p w14:paraId="160D3D04" w14:textId="6B3EB306" w:rsidR="00657636" w:rsidRPr="00EC5244" w:rsidRDefault="00657636" w:rsidP="00657636">
      <w:pPr>
        <w:pStyle w:val="TAMainText"/>
        <w:rPr>
          <w:lang w:val="en-CA"/>
        </w:rPr>
      </w:pPr>
    </w:p>
    <w:p w14:paraId="562822B8" w14:textId="4F1DA238" w:rsidR="009F191D" w:rsidRPr="00EC5244" w:rsidRDefault="009F191D" w:rsidP="009F191D">
      <w:pPr>
        <w:pStyle w:val="TAMainText"/>
        <w:rPr>
          <w:lang w:val="en-CA"/>
        </w:rPr>
      </w:pPr>
      <w:r w:rsidRPr="00EC5244">
        <w:rPr>
          <w:lang w:val="en-CA"/>
        </w:rPr>
        <w:t xml:space="preserve">The molar solubilization coefficient </w:t>
      </w:r>
      <m:oMath>
        <m:r>
          <w:rPr>
            <w:rFonts w:ascii="Cambria Math" w:hAnsi="Cambria Math"/>
            <w:lang w:val="en-CA"/>
          </w:rPr>
          <m:t>κ</m:t>
        </m:r>
      </m:oMath>
      <w:r w:rsidRPr="00EC5244">
        <w:rPr>
          <w:lang w:val="en-CA"/>
        </w:rPr>
        <w:t xml:space="preserve"> at a total surfactant concentration </w:t>
      </w: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m:t>
            </m:r>
          </m:sup>
        </m:sSubSup>
      </m:oMath>
      <w:r w:rsidRPr="00EC5244">
        <w:rPr>
          <w:lang w:val="en-CA"/>
        </w:rPr>
        <w:t>, in the experimental literature, has been defined in the following context</w:t>
      </w:r>
    </w:p>
    <w:p w14:paraId="5CC8E1A8" w14:textId="77777777" w:rsidR="009F191D" w:rsidRPr="00EC5244" w:rsidRDefault="000C7FF6" w:rsidP="009F191D">
      <w:pPr>
        <w:pStyle w:val="TAMainText"/>
        <w:rPr>
          <w:lang w:val="en-CA"/>
        </w:rPr>
      </w:pPr>
      <m:oMath>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0</m:t>
            </m:r>
          </m:sup>
        </m:sSubSup>
        <m:r>
          <w:rPr>
            <w:rFonts w:ascii="Cambria Math" w:hAnsi="Cambria Math"/>
            <w:lang w:val="en-CA"/>
          </w:rPr>
          <m:t>+κ(</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cm</m:t>
            </m:r>
            <m:sSup>
              <m:sSupPr>
                <m:ctrlPr>
                  <w:rPr>
                    <w:rFonts w:ascii="Cambria Math" w:hAnsi="Cambria Math"/>
                    <w:i/>
                    <w:lang w:val="en-CA"/>
                  </w:rPr>
                </m:ctrlPr>
              </m:sSupPr>
              <m:e>
                <m:r>
                  <w:rPr>
                    <w:rFonts w:ascii="Cambria Math" w:hAnsi="Cambria Math"/>
                    <w:lang w:val="en-CA"/>
                  </w:rPr>
                  <m:t>c</m:t>
                </m:r>
              </m:e>
              <m:sup>
                <m:r>
                  <w:rPr>
                    <w:rFonts w:ascii="Cambria Math" w:hAnsi="Cambria Math"/>
                    <w:lang w:val="en-CA"/>
                  </w:rPr>
                  <m:t>'</m:t>
                </m:r>
              </m:sup>
            </m:sSup>
          </m:sup>
        </m:sSubSup>
        <m:r>
          <w:rPr>
            <w:rFonts w:ascii="Cambria Math" w:hAnsi="Cambria Math"/>
            <w:lang w:val="en-CA"/>
          </w:rPr>
          <m:t>)</m:t>
        </m:r>
      </m:oMath>
      <w:r w:rsidR="009F191D" w:rsidRPr="00EC5244">
        <w:rPr>
          <w:lang w:val="en-CA"/>
        </w:rPr>
        <w:tab/>
      </w:r>
      <w:r w:rsidR="009F191D" w:rsidRPr="00EC5244">
        <w:rPr>
          <w:lang w:val="en-CA"/>
        </w:rPr>
        <w:tab/>
      </w:r>
      <w:r w:rsidR="009F191D" w:rsidRPr="00EC5244">
        <w:rPr>
          <w:lang w:val="en-CA"/>
        </w:rPr>
        <w:tab/>
      </w:r>
      <w:r w:rsidR="009F191D" w:rsidRPr="00EC5244">
        <w:rPr>
          <w:lang w:val="en-CA"/>
        </w:rPr>
        <w:tab/>
      </w:r>
      <w:r w:rsidR="009F191D" w:rsidRPr="00EC5244">
        <w:rPr>
          <w:lang w:val="en-CA"/>
        </w:rPr>
        <w:tab/>
      </w:r>
      <w:r w:rsidR="009F191D" w:rsidRPr="00EC5244">
        <w:rPr>
          <w:lang w:val="en-CA"/>
        </w:rPr>
        <w:tab/>
      </w:r>
      <w:r w:rsidR="009F191D" w:rsidRPr="00EC5244">
        <w:rPr>
          <w:lang w:val="en-CA"/>
        </w:rPr>
        <w:tab/>
      </w:r>
      <w:r w:rsidR="009F191D" w:rsidRPr="00EC5244">
        <w:rPr>
          <w:lang w:val="en-CA"/>
        </w:rPr>
        <w:tab/>
      </w:r>
      <w:r w:rsidR="009F191D" w:rsidRPr="00EC5244">
        <w:rPr>
          <w:lang w:val="en-CA"/>
        </w:rPr>
        <w:tab/>
        <w:t>(8)</w:t>
      </w:r>
    </w:p>
    <w:p w14:paraId="2185CAB1" w14:textId="77777777" w:rsidR="009F191D" w:rsidRPr="00EC5244" w:rsidRDefault="009F191D" w:rsidP="009F191D">
      <w:pPr>
        <w:pStyle w:val="TAMainText"/>
        <w:ind w:firstLine="0"/>
        <w:rPr>
          <w:lang w:val="en-CA"/>
        </w:rPr>
      </w:pPr>
      <w:r w:rsidRPr="00EC5244">
        <w:rPr>
          <w:lang w:val="en-CA"/>
        </w:rPr>
        <w:t xml:space="preserve">where </w:t>
      </w:r>
      <m:oMath>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oMath>
      <w:r w:rsidRPr="00EC5244">
        <w:rPr>
          <w:lang w:val="en-CA"/>
        </w:rPr>
        <w:t xml:space="preserve"> is the solubility of the solute and </w:t>
      </w: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0</m:t>
            </m:r>
          </m:sup>
        </m:sSubSup>
      </m:oMath>
      <w:r w:rsidRPr="00EC5244">
        <w:rPr>
          <w:lang w:val="en-CA"/>
        </w:rPr>
        <w:t xml:space="preserve"> is that at CMC (</w:t>
      </w: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cmc</m:t>
            </m:r>
          </m:sup>
        </m:sSubSup>
        <m:r>
          <w:rPr>
            <w:rFonts w:ascii="Cambria Math" w:hAnsi="Cambria Math"/>
            <w:lang w:val="en-CA"/>
          </w:rPr>
          <m:t>'</m:t>
        </m:r>
      </m:oMath>
      <w:r w:rsidRPr="00EC5244">
        <w:rPr>
          <w:lang w:val="en-CA"/>
        </w:rPr>
        <w:t>).</w:t>
      </w:r>
      <w:r w:rsidRPr="00EC5244">
        <w:rPr>
          <w:lang w:val="en-CA"/>
        </w:rPr>
        <w:fldChar w:fldCharType="begin" w:fldLock="1"/>
      </w:r>
      <w:r w:rsidRPr="00EC5244">
        <w:rPr>
          <w:lang w:val="en-CA"/>
        </w:rPr>
        <w:instrText>ADDIN CSL_CITATION { "citationItems" : [ { "id" : "ITEM-1", "itemData" : { "DOI" : "10.1007/978-94-009-5775-6_5", "author" : [ { "dropping-particle" : "", "family" : "Attwood", "given" : "D.", "non-dropping-particle" : "", "parse-names" : false, "suffix" : "" }, { "dropping-particle" : "", "family" : "Florence", "given" : "A. T.", "non-dropping-particle" : "", "parse-names" : false, "suffix" : "" } ], "container-title" : "Surfactant Systems", "id" : "ITEM-1", "issued" : { "date-parts" : [ [ "1983" ] ] }, "page" : "229-292", "publisher" : "Springer Netherlands", "publisher-place" : "Dordrecht", "title" : "Solubilization", "type" : "chapter" }, "uris" : [ "http://www.mendeley.com/documents/?uuid=563f9364-c5df-39f1-b5e4-bade58de6d90" ] }, { "id" : "ITEM-2", "itemData" : { "DOI" : "10.1016/S0378-5173(00)00386-0", "ISSN" : "03785173", "PMID" : "10867251", "abstract" : "The molar solubilization capacities (??) and the molar micelle-water partition coefficients (K(M)(N)) in Polysorbate 80 of several drugs (including barbiturates, steroids, and benzoic acid derivatives) are related to their log octanol-water partition coefficients (logP). Both ?? and K(M)(N) values were calculated from solubility versus Polysorbate 80 concentration profiles, which were either experimentally determined or obtained from the literature. There is a linear relationship between logP of the tested compounds and the logarithm of the molar micelle-water partition coefficient (logK(M)(N)). On the other hand molar solubilization capacities are nearly independent of logP. It is shown that the ability of Polysorbate 80 to solubilize a drug can be predicted from its logP value. Copyright (C) 2000 Elsevier Science B.V.", "author" : [ { "dropping-particle" : "", "family" : "Alvarez-N\u00fa\u00f1ez", "given" : "F. A.", "non-dropping-particle" : "", "parse-names" : false, "suffix" : "" }, { "dropping-particle" : "", "family" : "Yalkowsky", "given" : "S. H.", "non-dropping-particle" : "", "parse-names" : false, "suffix" : "" } ], "container-title" : "International Journal of Pharmaceutics", "id" : "ITEM-2", "issue" : "2", "issued" : { "date-parts" : [ [ "2000" ] ] }, "page" : "217-222", "title" : "Relationship between Polysorbate 80 solubilization descriptors and octanol-water partition coefficients of drugs", "type" : "article-journal", "volume" : "200" }, "uris" : [ "http://www.mendeley.com/documents/?uuid=5d4381f1-b1ac-4f61-b0d3-1260484f5d19" ] }, { "id" : "ITEM-3", "itemData" : { "abstract" : "PURPOSE: Micellar solubilization is a pow-erful alternative for dissolving hydrophobic drugs in aqueous environments. In this work, we provide an insight into this subject. METHODS: A concise review of surfactants and micelles applications in phar-macy was carried out. RESULTS: Initially, a descrip-tion of surfactants and aqueous micellar systems is presented. Following, an extensive review on micellar drug solubilization, including both the principles involved on this phenomenon and the work already done regarding solubilization of drugs by micelles is presented. The application of micelles in drug delivery, in order to minimize drug degradation and loss, to pre-vent harmful side effects, and to increase drug bioavail-ability, is also presented. Special emphasis is given to the more recent use of polymeric micelles. Finally, we briefly discuss the importance of surfactants and micelles as biological systems models as well as its application in micellar catalysis. CONCLUSIONS: As can be seen from the review presented, the use of micelles in pharmacy is an important tool that finds numerous applications.", "author" : [ { "dropping-particle" : "", "family" : "Oliveira", "given" : "Carlota", "non-dropping-particle" : "De", "parse-names" : false, "suffix" : "" }, { "dropping-particle" : "", "family" : "Yagui", "given" : "Rangel", "non-dropping-particle" : "", "parse-names" : false, "suffix" : "" }, { "dropping-particle" : "", "family" : "Lineu Prestes", "given" : "Av", "non-dropping-particle" : "", "parse-names" : false, "suffix" : "" }, { "dropping-particle" : "", "family" : "Rangel-Yagui", "given" : "Carlota O", "non-dropping-particle" : "", "parse-names" : false, "suffix" : "" }, { "dropping-particle" : "", "family" : "Pessoa-Jr", "given" : "Adalberto", "non-dropping-particle" : "", "parse-names" : false, "suffix" : "" }, { "dropping-particle" : "", "family" : "Tavares", "given" : "Leoberto Costa", "non-dropping-particle" : "", "parse-names" : false, "suffix" : "" } ], "container-title" : "J Pharm Pharmaceut Sci (www.cspscanada.org)", "id" : "ITEM-3", "issue" : "2", "issued" : { "date-parts" : [ [ "2005" ] ] }, "page" : "147-163", "title" : "Micellar solubilization of drugs", "type" : "article-journal", "volume" : "8" }, "uris" : [ "http://www.mendeley.com/documents/?uuid=d0113e2b-dff8-3380-95eb-ce76cebe0d00" ] } ], "mendeley" : { "formattedCitation" : "&lt;sup&gt;42\u201344&lt;/sup&gt;", "plainTextFormattedCitation" : "42\u201344", "previouslyFormattedCitation" : "&lt;sup&gt;42\u201344&lt;/sup&gt;" }, "properties" : { "noteIndex" : 0 }, "schema" : "https://github.com/citation-style-language/schema/raw/master/csl-citation.json" }</w:instrText>
      </w:r>
      <w:r w:rsidRPr="00EC5244">
        <w:rPr>
          <w:lang w:val="en-CA"/>
        </w:rPr>
        <w:fldChar w:fldCharType="separate"/>
      </w:r>
      <w:r w:rsidRPr="00EC5244">
        <w:rPr>
          <w:noProof/>
          <w:vertAlign w:val="superscript"/>
          <w:lang w:val="en-CA"/>
        </w:rPr>
        <w:t>42–44</w:t>
      </w:r>
      <w:r w:rsidRPr="00EC5244">
        <w:rPr>
          <w:lang w:val="en-CA"/>
        </w:rPr>
        <w:fldChar w:fldCharType="end"/>
      </w:r>
      <w:r w:rsidRPr="00EC5244">
        <w:rPr>
          <w:lang w:val="en-CA"/>
        </w:rPr>
        <w:t xml:space="preserve"> Molar micelle-water partition coefficient </w:t>
      </w: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oMath>
      <w:r w:rsidRPr="00EC5244">
        <w:rPr>
          <w:lang w:val="en-CA"/>
        </w:rPr>
        <w:t xml:space="preserve"> has been introduced in the context of rewriting Eq. (8) as</w:t>
      </w:r>
      <w:r w:rsidRPr="00EC5244">
        <w:rPr>
          <w:lang w:val="en-CA"/>
        </w:rPr>
        <w:fldChar w:fldCharType="begin" w:fldLock="1"/>
      </w:r>
      <w:r w:rsidRPr="00EC5244">
        <w:rPr>
          <w:lang w:val="en-CA"/>
        </w:rPr>
        <w:instrText>ADDIN CSL_CITATION { "citationItems" : [ { "id" : "ITEM-1", "itemData" : { "DOI" : "10.1063/1.2186324", "ISSN" : "0021-9606", "author" : [ { "dropping-particle" : "", "family" : "Matubayasi", "given" : "Nobuyuki", "non-dropping-particle" : "", "parse-names" : false, "suffix" : "" }, { "dropping-particle" : "", "family" : "Liang", "given" : "Kuo Kan", "non-dropping-particle" : "", "parse-names" : false, "suffix" : "" }, { "dropping-particle" : "", "family" : "Nakahara", "given" : "Masaru", "non-dropping-particle" : "", "parse-names" : false, "suffix" : "" } ], "container-title" : "The Journal of Chemical Physics", "id" : "ITEM-1", "issue" : "15", "issued" : { "date-parts" : [ [ "2006", "4", "21" ] ] }, "page" : "154908", "title" : "Free-energy analysis of solubilization in micelle", "type" : "article-journal", "volume" : "124" }, "uris" : [ "http://www.mendeley.com/documents/?uuid=d1f0e9c1-c8cc-3891-ab25-bfeb8a83a8f0" ] } ], "mendeley" : { "formattedCitation" : "&lt;sup&gt;30&lt;/sup&gt;", "plainTextFormattedCitation" : "30", "previouslyFormattedCitation" : "&lt;sup&gt;30&lt;/sup&gt;" }, "properties" : { "noteIndex" : 0 }, "schema" : "https://github.com/citation-style-language/schema/raw/master/csl-citation.json" }</w:instrText>
      </w:r>
      <w:r w:rsidRPr="00EC5244">
        <w:rPr>
          <w:lang w:val="en-CA"/>
        </w:rPr>
        <w:fldChar w:fldCharType="separate"/>
      </w:r>
      <w:r w:rsidRPr="00EC5244">
        <w:rPr>
          <w:noProof/>
          <w:vertAlign w:val="superscript"/>
          <w:lang w:val="en-CA"/>
        </w:rPr>
        <w:t>30</w:t>
      </w:r>
      <w:r w:rsidRPr="00EC5244">
        <w:rPr>
          <w:lang w:val="en-CA"/>
        </w:rPr>
        <w:fldChar w:fldCharType="end"/>
      </w:r>
      <w:r w:rsidRPr="00EC5244">
        <w:rPr>
          <w:lang w:val="en-CA"/>
        </w:rPr>
        <w:t xml:space="preserve"> </w:t>
      </w:r>
    </w:p>
    <w:p w14:paraId="24BDA7EB" w14:textId="77777777" w:rsidR="009F191D" w:rsidRPr="00EC5244" w:rsidRDefault="000C7FF6" w:rsidP="009F191D">
      <w:pPr>
        <w:pStyle w:val="TAMainText"/>
        <w:ind w:firstLine="0"/>
        <w:rPr>
          <w:lang w:val="en-CA"/>
        </w:rPr>
      </w:pPr>
      <m:oMath>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num>
          <m:den>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0</m:t>
                </m:r>
              </m:sup>
            </m:sSubSup>
          </m:den>
        </m:f>
        <m:r>
          <w:rPr>
            <w:rFonts w:ascii="Cambria Math" w:hAnsi="Cambria Math"/>
            <w:lang w:val="en-CA"/>
          </w:rPr>
          <m:t>=1+</m:t>
        </m:r>
        <m:f>
          <m:fPr>
            <m:ctrlPr>
              <w:rPr>
                <w:rFonts w:ascii="Cambria Math" w:hAnsi="Cambria Math"/>
                <w:i/>
                <w:lang w:val="en-CA"/>
              </w:rPr>
            </m:ctrlPr>
          </m:fPr>
          <m:num>
            <m:r>
              <w:rPr>
                <w:rFonts w:ascii="Cambria Math" w:hAnsi="Cambria Math"/>
                <w:lang w:val="en-CA"/>
              </w:rPr>
              <m:t>κ</m:t>
            </m:r>
            <m:d>
              <m:dPr>
                <m:ctrlPr>
                  <w:rPr>
                    <w:rFonts w:ascii="Cambria Math" w:hAnsi="Cambria Math"/>
                    <w:i/>
                    <w:lang w:val="en-CA"/>
                  </w:rPr>
                </m:ctrlPr>
              </m:dPr>
              <m:e>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cm</m:t>
                    </m:r>
                    <m:sSup>
                      <m:sSupPr>
                        <m:ctrlPr>
                          <w:rPr>
                            <w:rFonts w:ascii="Cambria Math" w:hAnsi="Cambria Math"/>
                            <w:i/>
                            <w:lang w:val="en-CA"/>
                          </w:rPr>
                        </m:ctrlPr>
                      </m:sSupPr>
                      <m:e>
                        <m:r>
                          <w:rPr>
                            <w:rFonts w:ascii="Cambria Math" w:hAnsi="Cambria Math"/>
                            <w:lang w:val="en-CA"/>
                          </w:rPr>
                          <m:t>c</m:t>
                        </m:r>
                      </m:e>
                      <m:sup>
                        <m:r>
                          <w:rPr>
                            <w:rFonts w:ascii="Cambria Math" w:hAnsi="Cambria Math"/>
                            <w:lang w:val="en-CA"/>
                          </w:rPr>
                          <m:t>'</m:t>
                        </m:r>
                      </m:sup>
                    </m:sSup>
                  </m:sup>
                </m:sSubSup>
              </m:e>
            </m:d>
          </m:num>
          <m:den>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0</m:t>
                </m:r>
              </m:sup>
            </m:sSubSup>
          </m:den>
        </m:f>
        <m:r>
          <w:rPr>
            <w:rFonts w:ascii="Cambria Math" w:hAnsi="Cambria Math"/>
            <w:lang w:val="en-CA"/>
          </w:rPr>
          <m:t>=1+</m:t>
        </m:r>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d>
          <m:dPr>
            <m:ctrlPr>
              <w:rPr>
                <w:rFonts w:ascii="Cambria Math" w:hAnsi="Cambria Math"/>
                <w:i/>
                <w:lang w:val="en-CA"/>
              </w:rPr>
            </m:ctrlPr>
          </m:dPr>
          <m:e>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cm</m:t>
                </m:r>
                <m:sSup>
                  <m:sSupPr>
                    <m:ctrlPr>
                      <w:rPr>
                        <w:rFonts w:ascii="Cambria Math" w:hAnsi="Cambria Math"/>
                        <w:i/>
                        <w:lang w:val="en-CA"/>
                      </w:rPr>
                    </m:ctrlPr>
                  </m:sSupPr>
                  <m:e>
                    <m:r>
                      <w:rPr>
                        <w:rFonts w:ascii="Cambria Math" w:hAnsi="Cambria Math"/>
                        <w:lang w:val="en-CA"/>
                      </w:rPr>
                      <m:t>c</m:t>
                    </m:r>
                  </m:e>
                  <m:sup>
                    <m:r>
                      <w:rPr>
                        <w:rFonts w:ascii="Cambria Math" w:hAnsi="Cambria Math"/>
                        <w:lang w:val="en-CA"/>
                      </w:rPr>
                      <m:t>'</m:t>
                    </m:r>
                  </m:sup>
                </m:sSup>
              </m:sup>
            </m:sSubSup>
          </m:e>
        </m:d>
        <m:r>
          <w:rPr>
            <w:rFonts w:ascii="Cambria Math" w:hAnsi="Cambria Math"/>
            <w:lang w:val="en-CA"/>
          </w:rPr>
          <m:t>≃1+</m:t>
        </m:r>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m:t>
            </m:r>
          </m:sup>
        </m:sSubSup>
      </m:oMath>
      <w:r w:rsidR="009F191D" w:rsidRPr="00EC5244">
        <w:rPr>
          <w:lang w:val="en-CA"/>
        </w:rPr>
        <w:tab/>
      </w:r>
      <w:r w:rsidR="009F191D" w:rsidRPr="00EC5244">
        <w:rPr>
          <w:lang w:val="en-CA"/>
        </w:rPr>
        <w:tab/>
      </w:r>
      <w:r w:rsidR="009F191D" w:rsidRPr="00EC5244">
        <w:rPr>
          <w:lang w:val="en-CA"/>
        </w:rPr>
        <w:tab/>
      </w:r>
      <w:r w:rsidR="009F191D" w:rsidRPr="00EC5244">
        <w:rPr>
          <w:lang w:val="en-CA"/>
        </w:rPr>
        <w:tab/>
      </w:r>
      <w:r w:rsidR="009F191D" w:rsidRPr="00EC5244">
        <w:rPr>
          <w:lang w:val="en-CA"/>
        </w:rPr>
        <w:tab/>
        <w:t>(9)</w:t>
      </w:r>
    </w:p>
    <w:p w14:paraId="4F4B484B" w14:textId="247E3A98" w:rsidR="00FD08BC" w:rsidRPr="00EC5244" w:rsidRDefault="009F191D" w:rsidP="009F191D">
      <w:pPr>
        <w:pStyle w:val="TAMainText"/>
        <w:ind w:firstLine="0"/>
        <w:rPr>
          <w:lang w:val="en-CA"/>
        </w:rPr>
      </w:pPr>
      <w:r w:rsidRPr="00EC5244">
        <w:rPr>
          <w:lang w:val="en-CA"/>
        </w:rPr>
        <w:t xml:space="preserve">where </w:t>
      </w:r>
      <m:oMath>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m:t>
            </m:r>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cm</m:t>
            </m:r>
            <m:sSup>
              <m:sSupPr>
                <m:ctrlPr>
                  <w:rPr>
                    <w:rFonts w:ascii="Cambria Math" w:hAnsi="Cambria Math"/>
                    <w:i/>
                    <w:lang w:val="en-CA"/>
                  </w:rPr>
                </m:ctrlPr>
              </m:sSupPr>
              <m:e>
                <m:r>
                  <w:rPr>
                    <w:rFonts w:ascii="Cambria Math" w:hAnsi="Cambria Math"/>
                    <w:lang w:val="en-CA"/>
                  </w:rPr>
                  <m:t>c</m:t>
                </m:r>
              </m:e>
              <m:sup>
                <m:r>
                  <w:rPr>
                    <w:rFonts w:ascii="Cambria Math" w:hAnsi="Cambria Math"/>
                    <w:lang w:val="en-CA"/>
                  </w:rPr>
                  <m:t>'</m:t>
                </m:r>
              </m:sup>
            </m:sSup>
          </m:sup>
        </m:sSubSup>
      </m:oMath>
      <w:r w:rsidRPr="00EC5244">
        <w:rPr>
          <w:lang w:val="en-CA"/>
        </w:rPr>
        <w:t xml:space="preserve"> is usually the concentration region used for solubilization.</w:t>
      </w:r>
      <w:r w:rsidRPr="00EC5244">
        <w:rPr>
          <w:lang w:val="en-CA"/>
        </w:rPr>
        <w:fldChar w:fldCharType="begin" w:fldLock="1"/>
      </w:r>
      <w:r w:rsidRPr="00EC5244">
        <w:rPr>
          <w:lang w:val="en-CA"/>
        </w:rPr>
        <w:instrText>ADDIN CSL_CITATION { "citationItems" : [ { "id" : "ITEM-1", "itemData" : { "DOI" : "10.1007/978-94-009-5775-6_5", "author" : [ { "dropping-particle" : "", "family" : "Attwood", "given" : "D.", "non-dropping-particle" : "", "parse-names" : false, "suffix" : "" }, { "dropping-particle" : "", "family" : "Florence", "given" : "A. T.", "non-dropping-particle" : "", "parse-names" : false, "suffix" : "" } ], "container-title" : "Surfactant Systems", "id" : "ITEM-1", "issued" : { "date-parts" : [ [ "1983" ] ] }, "page" : "229-292", "publisher" : "Springer Netherlands", "publisher-place" : "Dordrecht", "title" : "Solubilization", "type" : "chapter" }, "uris" : [ "http://www.mendeley.com/documents/?uuid=563f9364-c5df-39f1-b5e4-bade58de6d90" ] }, { "id" : "ITEM-2", "itemData" : { "DOI" : "10.1016/S0378-5173(00)00386-0", "ISSN" : "03785173", "PMID" : "10867251", "abstract" : "The molar solubilization capacities (??) and the molar micelle-water partition coefficients (K(M)(N)) in Polysorbate 80 of several drugs (including barbiturates, steroids, and benzoic acid derivatives) are related to their log octanol-water partition coefficients (logP). Both ?? and K(M)(N) values were calculated from solubility versus Polysorbate 80 concentration profiles, which were either experimentally determined or obtained from the literature. There is a linear relationship between logP of the tested compounds and the logarithm of the molar micelle-water partition coefficient (logK(M)(N)). On the other hand molar solubilization capacities are nearly independent of logP. It is shown that the ability of Polysorbate 80 to solubilize a drug can be predicted from its logP value. Copyright (C) 2000 Elsevier Science B.V.", "author" : [ { "dropping-particle" : "", "family" : "Alvarez-N\u00fa\u00f1ez", "given" : "F. A.", "non-dropping-particle" : "", "parse-names" : false, "suffix" : "" }, { "dropping-particle" : "", "family" : "Yalkowsky", "given" : "S. H.", "non-dropping-particle" : "", "parse-names" : false, "suffix" : "" } ], "container-title" : "International Journal of Pharmaceutics", "id" : "ITEM-2", "issue" : "2", "issued" : { "date-parts" : [ [ "2000" ] ] }, "page" : "217-222", "title" : "Relationship between Polysorbate 80 solubilization descriptors and octanol-water partition coefficients of drugs", "type" : "article-journal", "volume" : "200" }, "uris" : [ "http://www.mendeley.com/documents/?uuid=5d4381f1-b1ac-4f61-b0d3-1260484f5d19" ] }, { "id" : "ITEM-3", "itemData" : { "abstract" : "PURPOSE: Micellar solubilization is a pow-erful alternative for dissolving hydrophobic drugs in aqueous environments. In this work, we provide an insight into this subject. METHODS: A concise review of surfactants and micelles applications in phar-macy was carried out. RESULTS: Initially, a descrip-tion of surfactants and aqueous micellar systems is presented. Following, an extensive review on micellar drug solubilization, including both the principles involved on this phenomenon and the work already done regarding solubilization of drugs by micelles is presented. The application of micelles in drug delivery, in order to minimize drug degradation and loss, to pre-vent harmful side effects, and to increase drug bioavail-ability, is also presented. Special emphasis is given to the more recent use of polymeric micelles. Finally, we briefly discuss the importance of surfactants and micelles as biological systems models as well as its application in micellar catalysis. CONCLUSIONS: As can be seen from the review presented, the use of micelles in pharmacy is an important tool that finds numerous applications.", "author" : [ { "dropping-particle" : "", "family" : "Oliveira", "given" : "Carlota", "non-dropping-particle" : "De", "parse-names" : false, "suffix" : "" }, { "dropping-particle" : "", "family" : "Yagui", "given" : "Rangel", "non-dropping-particle" : "", "parse-names" : false, "suffix" : "" }, { "dropping-particle" : "", "family" : "Lineu Prestes", "given" : "Av", "non-dropping-particle" : "", "parse-names" : false, "suffix" : "" }, { "dropping-particle" : "", "family" : "Rangel-Yagui", "given" : "Carlota O", "non-dropping-particle" : "", "parse-names" : false, "suffix" : "" }, { "dropping-particle" : "", "family" : "Pessoa-Jr", "given" : "Adalberto", "non-dropping-particle" : "", "parse-names" : false, "suffix" : "" }, { "dropping-particle" : "", "family" : "Tavares", "given" : "Leoberto Costa", "non-dropping-particle" : "", "parse-names" : false, "suffix" : "" } ], "container-title" : "J Pharm Pharmaceut Sci (www.cspscanada.org)", "id" : "ITEM-3", "issue" : "2", "issued" : { "date-parts" : [ [ "2005" ] ] }, "page" : "147-163", "title" : "Micellar solubilization of drugs", "type" : "article-journal", "volume" : "8" }, "uris" : [ "http://www.mendeley.com/documents/?uuid=d0113e2b-dff8-3380-95eb-ce76cebe0d00" ] } ], "mendeley" : { "formattedCitation" : "&lt;sup&gt;42\u201344&lt;/sup&gt;", "plainTextFormattedCitation" : "42\u201344", "previouslyFormattedCitation" : "&lt;sup&gt;42\u201344&lt;/sup&gt;" }, "properties" : { "noteIndex" : 0 }, "schema" : "https://github.com/citation-style-language/schema/raw/master/csl-citation.json" }</w:instrText>
      </w:r>
      <w:r w:rsidRPr="00EC5244">
        <w:rPr>
          <w:lang w:val="en-CA"/>
        </w:rPr>
        <w:fldChar w:fldCharType="separate"/>
      </w:r>
      <w:r w:rsidRPr="00EC5244">
        <w:rPr>
          <w:noProof/>
          <w:vertAlign w:val="superscript"/>
          <w:lang w:val="en-CA"/>
        </w:rPr>
        <w:t>42–44</w:t>
      </w:r>
      <w:r w:rsidRPr="00EC5244">
        <w:rPr>
          <w:lang w:val="en-CA"/>
        </w:rPr>
        <w:fldChar w:fldCharType="end"/>
      </w:r>
      <w:r w:rsidRPr="00EC5244">
        <w:rPr>
          <w:lang w:val="en-CA"/>
        </w:rPr>
        <w:t xml:space="preserve"> </w:t>
      </w:r>
      <w:r w:rsidR="00CE2C8E" w:rsidRPr="00EC5244">
        <w:rPr>
          <w:lang w:val="en-CA"/>
        </w:rPr>
        <w:t xml:space="preserve">Note here that the </w:t>
      </w:r>
      <w:r w:rsidR="00FD08BC" w:rsidRPr="00EC5244">
        <w:rPr>
          <w:lang w:val="en-CA"/>
        </w:rPr>
        <w:t>“</w:t>
      </w:r>
      <w:r w:rsidR="00CE2C8E" w:rsidRPr="00EC5244">
        <w:rPr>
          <w:lang w:val="en-CA"/>
        </w:rPr>
        <w:t>partition coefficient</w:t>
      </w:r>
      <w:r w:rsidR="00FD08BC" w:rsidRPr="00EC5244">
        <w:rPr>
          <w:lang w:val="en-CA"/>
        </w:rPr>
        <w:t>”</w:t>
      </w:r>
      <w:r w:rsidR="00CE2C8E" w:rsidRPr="00EC5244">
        <w:rPr>
          <w:lang w:val="en-CA"/>
        </w:rPr>
        <w:t xml:space="preserve"> </w:t>
      </w: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oMath>
      <w:r w:rsidRPr="00EC5244">
        <w:rPr>
          <w:lang w:val="en-CA"/>
        </w:rPr>
        <w:t xml:space="preserve"> </w:t>
      </w:r>
      <w:r w:rsidR="00FD08BC" w:rsidRPr="00EC5244">
        <w:rPr>
          <w:lang w:val="en-CA"/>
        </w:rPr>
        <w:t xml:space="preserve">introduced here refers to the partitioning of solute molecules between water and micellar interior, modelled </w:t>
      </w:r>
      <w:r w:rsidR="00CE2C8E" w:rsidRPr="00EC5244">
        <w:rPr>
          <w:lang w:val="en-CA"/>
        </w:rPr>
        <w:t>as</w:t>
      </w:r>
      <w:r w:rsidR="0037267E" w:rsidRPr="00EC5244">
        <w:rPr>
          <w:lang w:val="en-CA"/>
        </w:rPr>
        <w:t xml:space="preserve"> a</w:t>
      </w:r>
      <w:r w:rsidR="00CE2C8E" w:rsidRPr="00EC5244">
        <w:rPr>
          <w:lang w:val="en-CA"/>
        </w:rPr>
        <w:t xml:space="preserve"> “pseudo phase”</w:t>
      </w:r>
      <w:r w:rsidR="00FD08BC" w:rsidRPr="00EC5244">
        <w:rPr>
          <w:lang w:val="en-CA"/>
        </w:rPr>
        <w:t xml:space="preserve">, which even inspired classical studies on the correlation between </w:t>
      </w: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oMath>
      <w:r w:rsidR="00FD08BC" w:rsidRPr="00EC5244">
        <w:rPr>
          <w:lang w:val="en-CA"/>
        </w:rPr>
        <w:t xml:space="preserve"> and octanol-water partition coefficients.</w:t>
      </w:r>
      <w:r w:rsidR="00FD08BC" w:rsidRPr="00EC5244">
        <w:rPr>
          <w:lang w:val="en-CA"/>
        </w:rPr>
        <w:fldChar w:fldCharType="begin" w:fldLock="1"/>
      </w:r>
      <w:r w:rsidR="0039109D" w:rsidRPr="00EC5244">
        <w:rPr>
          <w:lang w:val="en-CA"/>
        </w:rPr>
        <w:instrText>ADDIN CSL_CITATION { "citationItems" : [ { "id" : "ITEM-1", "itemData" : { "DOI" : "10.1002/jps.2600640733", "ISSN" : "00223549", "author" : [ { "dropping-particle" : "", "family" : "Collett", "given" : "J.H.", "non-dropping-particle" : "", "parse-names" : false, "suffix" : "" }, { "dropping-particle" : "", "family" : "Koo", "given" : "L.", "non-dropping-particle" : "", "parse-names" : false, "suffix" : "" } ], "container-title" : "Journal of Pharmaceutical Sciences", "id" : "ITEM-1", "issue" : "7", "issued" : { "date-parts" : [ [ "1975", "7" ] ] }, "page" : "1253-1255", "publisher" : "Wiley Subscription Services, Inc., A Wiley Company", "title" : "Interaction of Substituted Benzoic Acids with Polysorbate 20 Micelles", "type" : "article-journal", "volume" : "64" }, "uris" : [ "http://www.mendeley.com/documents/?uuid=de61035d-6eb8-3fe5-8f91-8c1d4374724c" ] }, { "id" : "ITEM-2", "itemData" : { "DOI" : "10.1021/es00065a012", "ISSN" : "0013-936X", "author" : [ { "dropping-particle" : "", "family" : "Kile", "given" : "D E", "non-dropping-particle" : "", "parse-names" : false, "suffix" : "" }, { "dropping-particle" : "", "family" : "Chiou", "given" : "C T", "non-dropping-particle" : "", "parse-names" : false, "suffix" : "" } ], "container-title" : "Environmental Science and Technology", "id" : "ITEM-2", "issued" : { "date-parts" : [ [ "1989" ] ] }, "page" : "832-838", "title" : "Water solubility enhancements of DDT and trichorobenzene by some surfactants below and above the critical micelle concentration", "type" : "article-journal", "volume" : "23" }, "uris" : [ "http://www.mendeley.com/documents/?uuid=b910ca79-c4f4-48bb-8c43-492521ccbf7f" ] }, { "id" : "ITEM-3", "itemData" : { "DOI" : "10.1016/S0378-5173(00)00386-0", "ISSN" : "03785173", "PMID" : "10867251", "abstract" : "The molar solubilization capacities (??) and the molar micelle-water partition coefficients (K(M)(N)) in Polysorbate 80 of several drugs (including barbiturates, steroids, and benzoic acid derivatives) are related to their log octanol-water partition coefficients (logP). Both ?? and K(M)(N) values were calculated from solubility versus Polysorbate 80 concentration profiles, which were either experimentally determined or obtained from the literature. There is a linear relationship between logP of the tested compounds and the logarithm of the molar micelle-water partition coefficient (logK(M)(N)). On the other hand molar solubilization capacities are nearly independent of logP. It is shown that the ability of Polysorbate 80 to solubilize a drug can be predicted from its logP value. Copyright (C) 2000 Elsevier Science B.V.", "author" : [ { "dropping-particle" : "", "family" : "Alvarez-N\u00fa\u00f1ez", "given" : "F. A.", "non-dropping-particle" : "", "parse-names" : false, "suffix" : "" }, { "dropping-particle" : "", "family" : "Yalkowsky", "given" : "S. H.", "non-dropping-particle" : "", "parse-names" : false, "suffix" : "" } ], "container-title" : "International Journal of Pharmaceutics", "id" : "ITEM-3", "issue" : "2", "issued" : { "date-parts" : [ [ "2000" ] ] }, "page" : "217-222", "title" : "Relationship between Polysorbate 80 solubilization descriptors and octanol-water partition coefficients of drugs", "type" : "article-journal", "volume" : "200" }, "uris" : [ "http://www.mendeley.com/documents/?uuid=5d4381f1-b1ac-4f61-b0d3-1260484f5d19" ] } ], "mendeley" : { "formattedCitation" : "&lt;sup&gt;43,45,46&lt;/sup&gt;", "plainTextFormattedCitation" : "43,45,46", "previouslyFormattedCitation" : "&lt;sup&gt;43,45,46&lt;/sup&gt;" }, "properties" : { "noteIndex" : 0 }, "schema" : "https://github.com/citation-style-language/schema/raw/master/csl-citation.json" }</w:instrText>
      </w:r>
      <w:r w:rsidR="00FD08BC" w:rsidRPr="00EC5244">
        <w:rPr>
          <w:lang w:val="en-CA"/>
        </w:rPr>
        <w:fldChar w:fldCharType="separate"/>
      </w:r>
      <w:r w:rsidR="0039109D" w:rsidRPr="00EC5244">
        <w:rPr>
          <w:noProof/>
          <w:vertAlign w:val="superscript"/>
          <w:lang w:val="en-CA"/>
        </w:rPr>
        <w:t>43,45,46</w:t>
      </w:r>
      <w:r w:rsidR="00FD08BC" w:rsidRPr="00EC5244">
        <w:rPr>
          <w:lang w:val="en-CA"/>
        </w:rPr>
        <w:fldChar w:fldCharType="end"/>
      </w:r>
      <w:r w:rsidR="00FD08BC" w:rsidRPr="00EC5244">
        <w:rPr>
          <w:lang w:val="en-CA"/>
        </w:rPr>
        <w:t xml:space="preserve"> </w:t>
      </w:r>
      <w:r w:rsidR="00795D13" w:rsidRPr="00EC5244">
        <w:rPr>
          <w:lang w:val="en-CA"/>
        </w:rPr>
        <w:t xml:space="preserve">The </w:t>
      </w:r>
      <w:r w:rsidR="00FD08BC" w:rsidRPr="00EC5244">
        <w:rPr>
          <w:lang w:val="en-CA"/>
        </w:rPr>
        <w:t xml:space="preserve">approach </w:t>
      </w:r>
      <w:r w:rsidR="00795D13" w:rsidRPr="00EC5244">
        <w:rPr>
          <w:lang w:val="en-CA"/>
        </w:rPr>
        <w:t xml:space="preserve">based on </w:t>
      </w: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oMath>
      <w:r w:rsidR="00795D13" w:rsidRPr="00EC5244">
        <w:rPr>
          <w:lang w:val="en-CA"/>
        </w:rPr>
        <w:t xml:space="preserve"> is </w:t>
      </w:r>
      <w:r w:rsidR="00FD08BC" w:rsidRPr="00EC5244">
        <w:rPr>
          <w:lang w:val="en-CA"/>
        </w:rPr>
        <w:t>a further simplification of the stoichiometric modelling of solute-surfactant complexation.</w:t>
      </w:r>
      <w:r w:rsidR="00FD08BC" w:rsidRPr="00EC5244">
        <w:rPr>
          <w:lang w:val="en-CA"/>
        </w:rPr>
        <w:fldChar w:fldCharType="begin" w:fldLock="1"/>
      </w:r>
      <w:r w:rsidR="0039109D" w:rsidRPr="00EC5244">
        <w:rPr>
          <w:lang w:val="en-CA"/>
        </w:rPr>
        <w:instrText>ADDIN CSL_CITATION { "citationItems" : [ { "id" : "ITEM-1", "itemData" : { "DOI" : "10.1039/c1cs15191f", "ISSN" : "1460-4744", "PMID" : "21909565", "abstract" : "It is argued that the state of condensation in the micelles of detergent solutions most nearly corresponds to the liquid state. Thermodynamic equations are presented to show that the Krafft point, enthalpy, and entropy of micellization can be interpreted theoretically on a simple basis if the micelle is treated as a pseudo-phase, but that erroneous values for the enthalpy and entropy of micellization are obtained by assuming ideal behavior for the single species and micelles in the simpler treatments of this problem", "author" : [ { "dropping-particle" : "", "family" : "K. Shinoda", "given" : "E. Hutchinson", "non-dropping-particle" : "", "parse-names" : false, "suffix" : "" } ], "container-title" : "The journal of physical chemistry", "id" : "ITEM-1", "issue" : "4", "issued" : { "date-parts" : [ [ "1961" ] ] }, "page" : "577-582", "title" : "Pseudo-Phase Separation Model for Thermodynamic Calculations on Micellar Solutions", "type" : "article-journal", "volume" : "66" }, "uris" : [ "http://www.mendeley.com/documents/?uuid=895812bc-f309-427a-bc67-fe3a11216516" ] } ], "mendeley" : { "formattedCitation" : "&lt;sup&gt;47&lt;/sup&gt;", "plainTextFormattedCitation" : "47", "previouslyFormattedCitation" : "&lt;sup&gt;47&lt;/sup&gt;" }, "properties" : { "noteIndex" : 0 }, "schema" : "https://github.com/citation-style-language/schema/raw/master/csl-citation.json" }</w:instrText>
      </w:r>
      <w:r w:rsidR="00FD08BC" w:rsidRPr="00EC5244">
        <w:rPr>
          <w:lang w:val="en-CA"/>
        </w:rPr>
        <w:fldChar w:fldCharType="separate"/>
      </w:r>
      <w:r w:rsidR="0039109D" w:rsidRPr="00EC5244">
        <w:rPr>
          <w:noProof/>
          <w:vertAlign w:val="superscript"/>
          <w:lang w:val="en-CA"/>
        </w:rPr>
        <w:t>47</w:t>
      </w:r>
      <w:r w:rsidR="00FD08BC" w:rsidRPr="00EC5244">
        <w:rPr>
          <w:lang w:val="en-CA"/>
        </w:rPr>
        <w:fldChar w:fldCharType="end"/>
      </w:r>
      <w:r w:rsidR="00FD08BC" w:rsidRPr="00EC5244">
        <w:rPr>
          <w:lang w:val="en-CA"/>
        </w:rPr>
        <w:t xml:space="preserve"> This is contradictory to accumulating evidence for the multiple possible locations (from interior to the surface) in the micellar system that a solute can be located.</w:t>
      </w:r>
      <w:r w:rsidR="00FD08BC" w:rsidRPr="00EC5244">
        <w:rPr>
          <w:lang w:val="en-CA"/>
        </w:rPr>
        <w:fldChar w:fldCharType="begin" w:fldLock="1"/>
      </w:r>
      <w:r w:rsidR="0039109D" w:rsidRPr="00EC5244">
        <w:rPr>
          <w:lang w:val="en-CA"/>
        </w:rPr>
        <w:instrText>ADDIN CSL_CITATION { "citationItems" : [ { "id" : "ITEM-1", "itemData" : { "DOI" : "10.1021/jp066926w", "ISSN" : "1520-6106", "PMID" : "17388443", "abstract" : "Water solubility enhancements of polycyclic aromatic hydrocarbons (PAHs), viz., naphthalene, anthracene and pyrene, by micellar solutions at 25 degrees C using two series of surfactants, each involving two cationic and one nonionic surfactant in their single as well as equimolar binary and ternary mixed states, were measured and compared. The first series was composed of three surfactants, benzylhexadecyldimethylammonium chloride (C16BzCl), hexadecyltrimethylammonium bromide (C16Br), and polyoxyethylene(20)mono-n-hexadecyl ether (Brij-58) with a 16-carbon (C16) hydrophobic chain; the second series consisted of dodecyltrimethylammonium bromide (C12Br), dodecylethyldimethylammonium bromide (C12EBr), and polyoxyethylene(4)mono-n-dodecyl ether (Brij-30) with a 12-carbon (C12) chain. Solubilization capacity has been quantified in terms of the molar solubilization ratio, the micelle-water partition coefficient, the first stepwise association constant between solubilizate monomer and vacant micelle, and the average number of solubilizate molecules per micelle, determined employing spectrophoto-, tensio-, and flourimetric techniques. Cationic surfactants exhibited lesser solubilization capacity than nonionics in each series of surfactants with higher efficiency in the C16 series compared to the C12 series. Increase in hydrophobicity of head groups of cationics by incorporation of ethyl or benzyl groups enhanced their solubilization capacity. The mixing effect of surfactants on mixed micelle formation and solubilization efficiency has been discussed in light of the regular solution approximation (RSA). Cationic-nonionic binary combinations showed better solubilization capacity than pure cationics, nonionics, or cationic-cationic mixtures, which, in general, showed increase with increased hydrophobicity of PAHs. Equimolar cationic-cationic-nonionic ternary surfactant systems showed lower solubilization efficiency than their binary cationic-nonionic counterparts but higher than cationic-cationic ones. In addition, use of RSA has been extended, with fair success, to predict partition coefficients of ternary surfactant systems using data of binary surfactants systems. Mixed surfactants may improve the performance of surfactant-enhanced remediation of soils and sediments by decreasing the applied surfactant level and thus remediation cost.", "author" : [ { "dropping-particle" : "", "family" : "Dar", "given" : "Aijaz Ahmad", "non-dropping-particle" : "", "parse-names" : false, "suffix" : "" }, { "dropping-particle" : "", "family" : "Rather", "given" : "Ghulam Mohammad", "non-dropping-particle" : "", "parse-names" : false, "suffix" : "" }, { "dropping-particle" : "", "family" : "Das", "given" : "Akhil Ranjan", "non-dropping-particle" : "", "parse-names" : false, "suffix" : "" } ], "container-title" : "Journal of Physical Chemistry Bhysical chemistry. B", "id" : "ITEM-1", "issue" : "91", "issued" : { "date-parts" : [ [ "2007" ] ] }, "page" : "3122-3132", "title" : "Mixed Micelle Formation and Solubilization Behavior toward Polycyclic Aromatic Hydrocarbons of Binary and Ternary Cationic-Nonionic Surfactant Mixtures", "type" : "article-journal", "volume" : "111" }, "uris" : [ "http://www.mendeley.com/documents/?uuid=b113b83d-8834-4215-8d50-34a5d1cd8c2e" ] }, { "id" : "ITEM-2", "itemData" : { "DOI" : "10.1021/jp807229c", "ISBN" : "1520-6106 (Print)\\r1520-5207 (Linking)", "ISSN" : "15206106", "PMID" : "19123827", "abstract" : "Mixed surfactants may improve the performance of surfactant-enhanced solubilization of drugs and thus can serve as the tool for increased bioavalaibility, controlled drug release, and targeted delivery. Solubilization of Naproxen by micellar solutions at 25 degrees C using single and mixed surfactant systems was measured and compared. Solubilization capacity determined with spectrophotometry and tensiometry has been quantified in terms of molar solubilization ratio, micelle-water partition coefficient, and locus of solubilization. Cationic surfactants exhibited higher solubilization capacity than nonionics and anionics, the efficiency increasing with chain length. Mixing effect of surfactants on mixed micelle formation and solubilization efficiency has been discussed in light of regular solution approximation (RSA). Equimolar cationic-nonionic surfactant combinations showed better solubilization capacity than pure cationics or nonionics, which, in general, increased with increase in hydrophobic chain length. Equimolar cationic-nonionic-nonionic ternary surfactant systems exhibited intermediate solubilization efficiency between their single and binary counterparts. Use of RSA has been extended, with fair success, to predict the partition coefficient of ternary surfactant systems using data from binary mixtures. The theoretical micelle-water partition coefficients calculated from the geometric mean equation compared well with experimental values. Locus of solubilization of NAP in different micellar solutions was probed by UV-visible spectroscopy.", "author" : [ { "dropping-particle" : "", "family" : "Bhat", "given" : "Parvaiz Ahmad", "non-dropping-particle" : "", "parse-names" : false, "suffix" : "" }, { "dropping-particle" : "", "family" : "Rather", "given" : "Ghulam Mohammad", "non-dropping-particle" : "", "parse-names" : false, "suffix" : "" }, { "dropping-particle" : "", "family" : "Dar", "given" : "Aijaz Ahmad", "non-dropping-particle" : "", "parse-names" : false, "suffix" : "" } ], "container-title" : "Journal of Physical Chemistry B", "id" : "ITEM-2", "issue" : "4", "issued" : { "date-parts" : [ [ "2009" ] ] }, "page" : "997-1006", "title" : "Effect of surfactant mixing on partitioning of model hydrophobic drug, Naproxen, between aqueous and micellar phases", "type" : "article-journal", "volume" : "113" }, "uris" : [ "http://www.mendeley.com/documents/?uuid=d84334cf-5cc1-4eb3-aa81-75f74ef04186" ] }, { "id" : "ITEM-3", "itemData" : { "abstract" : "PURPOSE: Micellar solubilization is a pow-erful alternative for dissolving hydrophobic drugs in aqueous environments. In this work, we provide an insight into this subject. METHODS: A concise review of surfactants and micelles applications in phar-macy was carried out. RESULTS: Initially, a descrip-tion of surfactants and aqueous micellar systems is presented. Following, an extensive review on micellar drug solubilization, including both the principles involved on this phenomenon and the work already done regarding solubilization of drugs by micelles is presented. The application of micelles in drug delivery, in order to minimize drug degradation and loss, to pre-vent harmful side effects, and to increase drug bioavail-ability, is also presented. Special emphasis is given to the more recent use of polymeric micelles. Finally, we briefly discuss the importance of surfactants and micelles as biological systems models as well as its application in micellar catalysis. CONCLUSIONS: As can be seen from the review presented, the use of micelles in pharmacy is an important tool that finds numerous applications.", "author" : [ { "dropping-particle" : "", "family" : "Oliveira", "given" : "Carlota", "non-dropping-particle" : "De", "parse-names" : false, "suffix" : "" }, { "dropping-particle" : "", "family" : "Yagui", "given" : "Rangel", "non-dropping-particle" : "", "parse-names" : false, "suffix" : "" }, { "dropping-particle" : "", "family" : "Lineu Prestes", "given" : "Av", "non-dropping-particle" : "", "parse-names" : false, "suffix" : "" }, { "dropping-particle" : "", "family" : "Rangel-Yagui", "given" : "Carlota O", "non-dropping-particle" : "", "parse-names" : false, "suffix" : "" }, { "dropping-particle" : "", "family" : "Pessoa-Jr", "given" : "Adalberto", "non-dropping-particle" : "", "parse-names" : false, "suffix" : "" }, { "dropping-particle" : "", "family" : "Tavares", "given" : "Leoberto Costa", "non-dropping-particle" : "", "parse-names" : false, "suffix" : "" } ], "container-title" : "J Pharm Pharmaceut Sci (www.cspscanada.org)", "id" : "ITEM-3", "issue" : "2", "issued" : { "date-parts" : [ [ "2005" ] ] }, "page" : "147-163", "title" : "Micellar solubilization of drugs", "type" : "article-journal", "volume" : "8" }, "uris" : [ "http://www.mendeley.com/documents/?uuid=d0113e2b-dff8-3380-95eb-ce76cebe0d00" ] }, { "id" : "ITEM-4", "itemData" : { "DOI" : "10.1063/1.2186324", "ISSN" : "0021-9606", "author" : [ { "dropping-particle" : "", "family" : "Matubayasi", "given" : "Nobuyuki", "non-dropping-particle" : "", "parse-names" : false, "suffix" : "" }, { "dropping-particle" : "", "family" : "Liang", "given" : "Kuo Kan", "non-dropping-particle" : "", "parse-names" : false, "suffix" : "" }, { "dropping-particle" : "", "family" : "Nakahara", "given" : "Masaru", "non-dropping-particle" : "", "parse-names" : false, "suffix" : "" } ], "container-title" : "The Journal of Chemical Physics", "id" : "ITEM-4", "issue" : "15", "issued" : { "date-parts" : [ [ "2006", "4", "21" ] ] }, "page" : "154908", "title" : "Free-energy analysis of solubilization in micelle", "type" : "article-journal", "volume" : "124" }, "uris" : [ "http://www.mendeley.com/documents/?uuid=d1f0e9c1-c8cc-3891-ab25-bfeb8a83a8f0" ] } ], "mendeley" : { "formattedCitation" : "&lt;sup&gt;30,44,48,49&lt;/sup&gt;", "plainTextFormattedCitation" : "30,44,48,49", "previouslyFormattedCitation" : "&lt;sup&gt;30,44,48,49&lt;/sup&gt;" }, "properties" : { "noteIndex" : 0 }, "schema" : "https://github.com/citation-style-language/schema/raw/master/csl-citation.json" }</w:instrText>
      </w:r>
      <w:r w:rsidR="00FD08BC" w:rsidRPr="00EC5244">
        <w:rPr>
          <w:lang w:val="en-CA"/>
        </w:rPr>
        <w:fldChar w:fldCharType="separate"/>
      </w:r>
      <w:r w:rsidR="0039109D" w:rsidRPr="00EC5244">
        <w:rPr>
          <w:noProof/>
          <w:vertAlign w:val="superscript"/>
          <w:lang w:val="en-CA"/>
        </w:rPr>
        <w:t>30,44,48,49</w:t>
      </w:r>
      <w:r w:rsidR="00FD08BC" w:rsidRPr="00EC5244">
        <w:rPr>
          <w:lang w:val="en-CA"/>
        </w:rPr>
        <w:fldChar w:fldCharType="end"/>
      </w:r>
      <w:r w:rsidR="00FD08BC" w:rsidRPr="00EC5244">
        <w:rPr>
          <w:lang w:val="en-CA"/>
        </w:rPr>
        <w:t xml:space="preserve"> </w:t>
      </w:r>
    </w:p>
    <w:p w14:paraId="776DA3FA" w14:textId="52D8334C" w:rsidR="000C61EC" w:rsidRPr="00EC5244" w:rsidRDefault="000C61EC" w:rsidP="00357723">
      <w:pPr>
        <w:pStyle w:val="TAMainText"/>
        <w:ind w:firstLine="0"/>
        <w:rPr>
          <w:lang w:val="en-CA"/>
        </w:rPr>
      </w:pPr>
    </w:p>
    <w:p w14:paraId="4B34D468" w14:textId="5C0A00C9" w:rsidR="000C61EC" w:rsidRPr="00EC5244" w:rsidRDefault="00FD08BC" w:rsidP="000C61EC">
      <w:pPr>
        <w:pStyle w:val="TAMainText"/>
        <w:rPr>
          <w:szCs w:val="24"/>
        </w:rPr>
      </w:pPr>
      <w:r w:rsidRPr="00EC5244">
        <w:t>Hence, considering the water-micelle partition coefficient merely as a fitting parameter, n</w:t>
      </w:r>
      <w:r w:rsidR="000C61EC" w:rsidRPr="00EC5244">
        <w:t xml:space="preserve">ow we combine the classical framework (Eq. (9)) and the rigorous KB theory (Eq. (7)). Since </w:t>
      </w:r>
      <m:oMath>
        <m:sSubSup>
          <m:sSubSupPr>
            <m:ctrlPr>
              <w:rPr>
                <w:rFonts w:ascii="Cambria Math" w:hAnsi="Cambria Math"/>
                <w:i/>
              </w:rPr>
            </m:ctrlPr>
          </m:sSubSupPr>
          <m:e>
            <m:r>
              <w:rPr>
                <w:rFonts w:ascii="Cambria Math" w:hAnsi="Cambria Math"/>
              </w:rPr>
              <m:t>μ</m:t>
            </m:r>
          </m:e>
          <m:sub>
            <m:r>
              <w:rPr>
                <w:rFonts w:ascii="Cambria Math" w:hAnsi="Cambria Math"/>
              </w:rPr>
              <m:t>u</m:t>
            </m:r>
          </m:sub>
          <m:sup>
            <m:r>
              <w:rPr>
                <w:rFonts w:ascii="Cambria Math" w:hAnsi="Cambria Math"/>
              </w:rPr>
              <m:t>*</m:t>
            </m:r>
          </m:sup>
        </m:sSubSup>
        <m:r>
          <w:rPr>
            <w:rFonts w:ascii="Cambria Math" w:hAnsi="Cambria Math"/>
          </w:rPr>
          <m:t>=-RT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lang w:val="en-CA"/>
                  </w:rPr>
                </m:ctrlPr>
              </m:dPr>
              <m:e>
                <m:r>
                  <w:rPr>
                    <w:rFonts w:ascii="Cambria Math" w:hAnsi="Cambria Math"/>
                    <w:lang w:val="en-CA"/>
                  </w:rPr>
                  <m:t>1+</m:t>
                </m:r>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M</m:t>
                    </m:r>
                  </m:sub>
                </m:sSub>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m:t>
                    </m:r>
                  </m:sup>
                </m:sSubSup>
              </m:e>
            </m:d>
          </m:e>
        </m:func>
        <m:r>
          <w:rPr>
            <w:rFonts w:ascii="Cambria Math" w:hAnsi="Cambria Math"/>
          </w:rPr>
          <m:t>+const</m:t>
        </m:r>
      </m:oMath>
      <w:r w:rsidR="00E37E5E" w:rsidRPr="00EC5244">
        <w:t>, one of us has shown</w:t>
      </w:r>
      <w:r w:rsidR="0039109D" w:rsidRPr="00EC5244">
        <w:fldChar w:fldCharType="begin" w:fldLock="1"/>
      </w:r>
      <w:r w:rsidR="000705E7" w:rsidRPr="00EC5244">
        <w:instrText>ADDIN CSL_CITATION { "citationItems" : [ { "id" : "ITEM-1", "itemData" : { "DOI" : "10.1063/1.2186324", "ISSN" : "0021-9606", "author" : [ { "dropping-particle" : "", "family" : "Matubayasi", "given" : "Nobuyuki", "non-dropping-particle" : "", "parse-names" : false, "suffix" : "" }, { "dropping-particle" : "", "family" : "Liang", "given" : "Kuo Kan", "non-dropping-particle" : "", "parse-names" : false, "suffix" : "" }, { "dropping-particle" : "", "family" : "Nakahara", "given" : "Masaru", "non-dropping-particle" : "", "parse-names" : false, "suffix" : "" } ], "container-title" : "The Journal of Chemical Physics", "id" : "ITEM-1", "issue" : "15", "issued" : { "date-parts" : [ [ "2006", "4", "21" ] ] }, "page" : "154908", "title" : "Free-energy analysis of solubilization in micelle", "type" : "article-journal", "volume" : "124" }, "uris" : [ "http://www.mendeley.com/documents/?uuid=d1f0e9c1-c8cc-3891-ab25-bfeb8a83a8f0" ] } ], "mendeley" : { "formattedCitation" : "&lt;sup&gt;30&lt;/sup&gt;", "plainTextFormattedCitation" : "30", "previouslyFormattedCitation" : "&lt;sup&gt;30&lt;/sup&gt;" }, "properties" : { "noteIndex" : 0 }, "schema" : "https://github.com/citation-style-language/schema/raw/master/csl-citation.json" }</w:instrText>
      </w:r>
      <w:r w:rsidR="0039109D" w:rsidRPr="00EC5244">
        <w:fldChar w:fldCharType="separate"/>
      </w:r>
      <w:r w:rsidR="0039109D" w:rsidRPr="00EC5244">
        <w:rPr>
          <w:noProof/>
          <w:vertAlign w:val="superscript"/>
        </w:rPr>
        <w:t>30</w:t>
      </w:r>
      <w:r w:rsidR="0039109D" w:rsidRPr="00EC5244">
        <w:fldChar w:fldCharType="end"/>
      </w:r>
      <w:r w:rsidR="000C61EC" w:rsidRPr="00EC5244">
        <w:t xml:space="preserve"> </w:t>
      </w:r>
    </w:p>
    <w:p w14:paraId="0796AEF0" w14:textId="07C492F5" w:rsidR="000C61EC" w:rsidRPr="00EC5244" w:rsidRDefault="000C7FF6" w:rsidP="000C61EC">
      <w:pPr>
        <w:pStyle w:val="TAMainText"/>
        <w:rPr>
          <w:szCs w:val="24"/>
          <w:lang w:val="en-CA" w:eastAsia="ja-JP"/>
        </w:rPr>
      </w:pP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K</m:t>
                </m:r>
              </m:e>
              <m:sub>
                <m:r>
                  <w:rPr>
                    <w:rFonts w:ascii="Cambria Math" w:hAnsi="Cambria Math"/>
                    <w:szCs w:val="24"/>
                  </w:rPr>
                  <m:t>M</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M</m:t>
                </m:r>
              </m:sub>
            </m:sSub>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2</m:t>
                </m:r>
              </m:sub>
              <m:sup>
                <m:r>
                  <w:rPr>
                    <w:rFonts w:ascii="Cambria Math" w:hAnsi="Cambria Math"/>
                    <w:szCs w:val="24"/>
                  </w:rPr>
                  <m:t>'</m:t>
                </m:r>
              </m:sup>
            </m:sSubSup>
          </m:den>
        </m:f>
        <m:r>
          <w:rPr>
            <w:rFonts w:ascii="Cambria Math" w:hAnsi="Cambria Math"/>
            <w:szCs w:val="24"/>
          </w:rPr>
          <m:t>=</m:t>
        </m:r>
        <m:f>
          <m:fPr>
            <m:ctrlPr>
              <w:rPr>
                <w:rFonts w:ascii="Cambria Math" w:hAnsi="Cambria Math" w:cs="Times"/>
                <w:i/>
                <w:szCs w:val="24"/>
                <w:lang w:val="en-CA" w:eastAsia="ja-JP"/>
              </w:rPr>
            </m:ctrlPr>
          </m:fPr>
          <m:num>
            <m:r>
              <w:rPr>
                <w:rFonts w:ascii="Cambria Math" w:hAnsi="Cambria Math" w:cs="Times"/>
                <w:szCs w:val="24"/>
                <w:lang w:val="en-CA" w:eastAsia="ja-JP"/>
              </w:rPr>
              <m:t>1</m:t>
            </m:r>
          </m:num>
          <m:den>
            <m:r>
              <w:rPr>
                <w:rFonts w:ascii="Cambria Math" w:hAnsi="Cambria Math" w:cs="Times"/>
                <w:szCs w:val="24"/>
                <w:lang w:val="en-CA" w:eastAsia="ja-JP"/>
              </w:rPr>
              <m:t>m</m:t>
            </m:r>
          </m:den>
        </m:f>
        <m:d>
          <m:dPr>
            <m:ctrlPr>
              <w:rPr>
                <w:rFonts w:ascii="Cambria Math" w:hAnsi="Cambria Math" w:cs="Times"/>
                <w:i/>
                <w:szCs w:val="24"/>
                <w:lang w:val="en-CA" w:eastAsia="ja-JP"/>
              </w:rPr>
            </m:ctrlPr>
          </m:dPr>
          <m:e>
            <m:sSub>
              <m:sSubPr>
                <m:ctrlPr>
                  <w:rPr>
                    <w:rFonts w:ascii="Cambria Math" w:hAnsi="Cambria Math" w:cs="Times"/>
                    <w:i/>
                    <w:szCs w:val="24"/>
                    <w:lang w:val="en-CA" w:eastAsia="ja-JP"/>
                  </w:rPr>
                </m:ctrlPr>
              </m:sSubPr>
              <m:e>
                <m:r>
                  <w:rPr>
                    <w:rFonts w:ascii="Cambria Math" w:hAnsi="Cambria Math" w:cs="Times"/>
                    <w:szCs w:val="24"/>
                    <w:lang w:val="en-CA" w:eastAsia="ja-JP"/>
                  </w:rPr>
                  <m:t>G</m:t>
                </m:r>
              </m:e>
              <m:sub>
                <m:r>
                  <w:rPr>
                    <w:rFonts w:ascii="Cambria Math" w:hAnsi="Cambria Math" w:cs="Times"/>
                    <w:szCs w:val="24"/>
                    <w:lang w:val="en-CA" w:eastAsia="ja-JP"/>
                  </w:rPr>
                  <m:t>u3</m:t>
                </m:r>
              </m:sub>
            </m:sSub>
            <m:r>
              <w:rPr>
                <w:rFonts w:ascii="Cambria Math" w:hAnsi="Cambria Math" w:cs="Times"/>
                <w:szCs w:val="24"/>
                <w:lang w:val="en-CA" w:eastAsia="ja-JP"/>
              </w:rPr>
              <m:t>-</m:t>
            </m:r>
            <m:sSub>
              <m:sSubPr>
                <m:ctrlPr>
                  <w:rPr>
                    <w:rFonts w:ascii="Cambria Math" w:hAnsi="Cambria Math" w:cs="Times"/>
                    <w:i/>
                    <w:szCs w:val="24"/>
                    <w:lang w:val="en-CA" w:eastAsia="ja-JP"/>
                  </w:rPr>
                </m:ctrlPr>
              </m:sSubPr>
              <m:e>
                <m:r>
                  <w:rPr>
                    <w:rFonts w:ascii="Cambria Math" w:hAnsi="Cambria Math" w:cs="Times"/>
                    <w:szCs w:val="24"/>
                    <w:lang w:val="en-CA" w:eastAsia="ja-JP"/>
                  </w:rPr>
                  <m:t>G</m:t>
                </m:r>
              </m:e>
              <m:sub>
                <m:r>
                  <w:rPr>
                    <w:rFonts w:ascii="Cambria Math" w:hAnsi="Cambria Math" w:cs="Times"/>
                    <w:szCs w:val="24"/>
                    <w:lang w:val="en-CA" w:eastAsia="ja-JP"/>
                  </w:rPr>
                  <m:t>u1</m:t>
                </m:r>
              </m:sub>
            </m:sSub>
          </m:e>
        </m:d>
      </m:oMath>
      <w:r w:rsidR="000C61EC" w:rsidRPr="00EC5244">
        <w:rPr>
          <w:szCs w:val="24"/>
          <w:lang w:val="en-CA" w:eastAsia="ja-JP"/>
        </w:rPr>
        <w:tab/>
      </w:r>
      <w:r w:rsidR="000C61EC" w:rsidRPr="00EC5244">
        <w:rPr>
          <w:szCs w:val="24"/>
          <w:lang w:val="en-CA" w:eastAsia="ja-JP"/>
        </w:rPr>
        <w:tab/>
      </w:r>
      <w:r w:rsidR="000C61EC" w:rsidRPr="00EC5244">
        <w:rPr>
          <w:szCs w:val="24"/>
          <w:lang w:val="en-CA" w:eastAsia="ja-JP"/>
        </w:rPr>
        <w:tab/>
      </w:r>
      <w:r w:rsidR="000C61EC" w:rsidRPr="00EC5244">
        <w:rPr>
          <w:szCs w:val="24"/>
          <w:lang w:val="en-CA" w:eastAsia="ja-JP"/>
        </w:rPr>
        <w:tab/>
      </w:r>
      <w:r w:rsidR="000C61EC" w:rsidRPr="00EC5244">
        <w:rPr>
          <w:szCs w:val="24"/>
          <w:lang w:val="en-CA" w:eastAsia="ja-JP"/>
        </w:rPr>
        <w:tab/>
      </w:r>
      <w:r w:rsidR="000C61EC" w:rsidRPr="00EC5244">
        <w:rPr>
          <w:szCs w:val="24"/>
          <w:lang w:val="en-CA" w:eastAsia="ja-JP"/>
        </w:rPr>
        <w:tab/>
      </w:r>
      <w:r w:rsidR="000C61EC" w:rsidRPr="00EC5244">
        <w:rPr>
          <w:szCs w:val="24"/>
          <w:lang w:val="en-CA" w:eastAsia="ja-JP"/>
        </w:rPr>
        <w:tab/>
      </w:r>
      <w:r w:rsidR="000C61EC" w:rsidRPr="00EC5244">
        <w:rPr>
          <w:szCs w:val="24"/>
          <w:lang w:val="en-CA" w:eastAsia="ja-JP"/>
        </w:rPr>
        <w:tab/>
      </w:r>
      <w:r w:rsidR="000C61EC" w:rsidRPr="00EC5244">
        <w:rPr>
          <w:szCs w:val="24"/>
          <w:lang w:val="en-CA" w:eastAsia="ja-JP"/>
        </w:rPr>
        <w:tab/>
        <w:t xml:space="preserve">(10) </w:t>
      </w:r>
    </w:p>
    <w:p w14:paraId="78745825" w14:textId="2D41C061" w:rsidR="003673FB" w:rsidRPr="00EC5244" w:rsidRDefault="000C61EC" w:rsidP="000C61EC">
      <w:pPr>
        <w:pStyle w:val="TAMainText"/>
        <w:ind w:firstLine="0"/>
        <w:rPr>
          <w:szCs w:val="24"/>
        </w:rPr>
      </w:pPr>
      <w:r w:rsidRPr="00EC5244">
        <w:rPr>
          <w:szCs w:val="24"/>
        </w:rPr>
        <w:t xml:space="preserve">Eq. (10) is significant in </w:t>
      </w:r>
      <w:r w:rsidR="003673FB" w:rsidRPr="00EC5244">
        <w:rPr>
          <w:szCs w:val="24"/>
        </w:rPr>
        <w:t xml:space="preserve">the following manner (which addresses our three-fold aim).  </w:t>
      </w:r>
    </w:p>
    <w:p w14:paraId="08B10075" w14:textId="77777777" w:rsidR="003673FB" w:rsidRPr="00EC5244" w:rsidRDefault="003673FB" w:rsidP="000C61EC">
      <w:pPr>
        <w:pStyle w:val="TAMainText"/>
        <w:ind w:firstLine="0"/>
        <w:rPr>
          <w:szCs w:val="24"/>
        </w:rPr>
      </w:pPr>
    </w:p>
    <w:p w14:paraId="212771CB" w14:textId="2B36EC2E" w:rsidR="003673FB" w:rsidRPr="00EC5244" w:rsidRDefault="000C61EC" w:rsidP="003673FB">
      <w:pPr>
        <w:pStyle w:val="TAMainText"/>
      </w:pPr>
      <w:r w:rsidRPr="00EC5244">
        <w:t xml:space="preserve">(1) </w:t>
      </w:r>
      <w:r w:rsidR="003673FB" w:rsidRPr="00EC5244">
        <w:t>A</w:t>
      </w:r>
      <w:r w:rsidRPr="00EC5244">
        <w:t>ll the molar water-micelle partition coefficients determined in the literature</w:t>
      </w:r>
      <w:r w:rsidR="006855FA" w:rsidRPr="00EC5244">
        <w:rPr>
          <w:lang w:val="en-CA"/>
        </w:rPr>
        <w:fldChar w:fldCharType="begin" w:fldLock="1"/>
      </w:r>
      <w:r w:rsidR="0039109D" w:rsidRPr="00EC5244">
        <w:rPr>
          <w:lang w:val="en-CA"/>
        </w:rPr>
        <w:instrText>ADDIN CSL_CITATION { "citationItems" : [ { "id" : "ITEM-1", "itemData" : { "DOI" : "10.1007/978-94-009-5775-6_5", "author" : [ { "dropping-particle" : "", "family" : "Attwood", "given" : "D.", "non-dropping-particle" : "", "parse-names" : false, "suffix" : "" }, { "dropping-particle" : "", "family" : "Florence", "given" : "A. T.", "non-dropping-particle" : "", "parse-names" : false, "suffix" : "" } ], "container-title" : "Surfactant Systems", "id" : "ITEM-1", "issued" : { "date-parts" : [ [ "1983" ] ] }, "page" : "229-292", "publisher" : "Springer Netherlands", "publisher-place" : "Dordrecht", "title" : "Solubilization", "type" : "chapter" }, "uris" : [ "http://www.mendeley.com/documents/?uuid=563f9364-c5df-39f1-b5e4-bade58de6d90" ] }, { "id" : "ITEM-2", "itemData" : { "DOI" : "10.1016/S0378-5173(00)00386-0", "ISSN" : "03785173", "PMID" : "10867251", "abstract" : "The molar solubilization capacities (??) and the molar micelle-water partition coefficients (K(M)(N)) in Polysorbate 80 of several drugs (including barbiturates, steroids, and benzoic acid derivatives) are related to their log octanol-water partition coefficients (logP). Both ?? and K(M)(N) values were calculated from solubility versus Polysorbate 80 concentration profiles, which were either experimentally determined or obtained from the literature. There is a linear relationship between logP of the tested compounds and the logarithm of the molar micelle-water partition coefficient (logK(M)(N)). On the other hand molar solubilization capacities are nearly independent of logP. It is shown that the ability of Polysorbate 80 to solubilize a drug can be predicted from its logP value. Copyright (C) 2000 Elsevier Science B.V.", "author" : [ { "dropping-particle" : "", "family" : "Alvarez-N\u00fa\u00f1ez", "given" : "F. A.", "non-dropping-particle" : "", "parse-names" : false, "suffix" : "" }, { "dropping-particle" : "", "family" : "Yalkowsky", "given" : "S. H.", "non-dropping-particle" : "", "parse-names" : false, "suffix" : "" } ], "container-title" : "International Journal of Pharmaceutics", "id" : "ITEM-2", "issue" : "2", "issued" : { "date-parts" : [ [ "2000" ] ] }, "page" : "217-222", "title" : "Relationship between Polysorbate 80 solubilization descriptors and octanol-water partition coefficients of drugs", "type" : "article-journal", "volume" : "200" }, "uris" : [ "http://www.mendeley.com/documents/?uuid=5d4381f1-b1ac-4f61-b0d3-1260484f5d19" ] }, { "id" : "ITEM-3", "itemData" : { "abstract" : "PURPOSE: Micellar solubilization is a pow-erful alternative for dissolving hydrophobic drugs in aqueous environments. In this work, we provide an insight into this subject. METHODS: A concise review of surfactants and micelles applications in phar-macy was carried out. RESULTS: Initially, a descrip-tion of surfactants and aqueous micellar systems is presented. Following, an extensive review on micellar drug solubilization, including both the principles involved on this phenomenon and the work already done regarding solubilization of drugs by micelles is presented. The application of micelles in drug delivery, in order to minimize drug degradation and loss, to pre-vent harmful side effects, and to increase drug bioavail-ability, is also presented. Special emphasis is given to the more recent use of polymeric micelles. Finally, we briefly discuss the importance of surfactants and micelles as biological systems models as well as its application in micellar catalysis. CONCLUSIONS: As can be seen from the review presented, the use of micelles in pharmacy is an important tool that finds numerous applications.", "author" : [ { "dropping-particle" : "", "family" : "Oliveira", "given" : "Carlota", "non-dropping-particle" : "De", "parse-names" : false, "suffix" : "" }, { "dropping-particle" : "", "family" : "Yagui", "given" : "Rangel", "non-dropping-particle" : "", "parse-names" : false, "suffix" : "" }, { "dropping-particle" : "", "family" : "Lineu Prestes", "given" : "Av", "non-dropping-particle" : "", "parse-names" : false, "suffix" : "" }, { "dropping-particle" : "", "family" : "Rangel-Yagui", "given" : "Carlota O", "non-dropping-particle" : "", "parse-names" : false, "suffix" : "" }, { "dropping-particle" : "", "family" : "Pessoa-Jr", "given" : "Adalberto", "non-dropping-particle" : "", "parse-names" : false, "suffix" : "" }, { "dropping-particle" : "", "family" : "Tavares", "given" : "Leoberto Costa", "non-dropping-particle" : "", "parse-names" : false, "suffix" : "" } ], "container-title" : "J Pharm Pharmaceut Sci (www.cspscanada.org)", "id" : "ITEM-3", "issue" : "2", "issued" : { "date-parts" : [ [ "2005" ] ] }, "page" : "147-163", "title" : "Micellar solubilization of drugs", "type" : "article-journal", "volume" : "8" }, "uris" : [ "http://www.mendeley.com/documents/?uuid=d0113e2b-dff8-3380-95eb-ce76cebe0d00" ] } ], "mendeley" : { "formattedCitation" : "&lt;sup&gt;42\u201344&lt;/sup&gt;", "plainTextFormattedCitation" : "42\u201344", "previouslyFormattedCitation" : "&lt;sup&gt;42\u201344&lt;/sup&gt;" }, "properties" : { "noteIndex" : 0 }, "schema" : "https://github.com/citation-style-language/schema/raw/master/csl-citation.json" }</w:instrText>
      </w:r>
      <w:r w:rsidR="006855FA" w:rsidRPr="00EC5244">
        <w:rPr>
          <w:lang w:val="en-CA"/>
        </w:rPr>
        <w:fldChar w:fldCharType="separate"/>
      </w:r>
      <w:r w:rsidR="0039109D" w:rsidRPr="00EC5244">
        <w:rPr>
          <w:noProof/>
          <w:vertAlign w:val="superscript"/>
          <w:lang w:val="en-CA"/>
        </w:rPr>
        <w:t>42–44</w:t>
      </w:r>
      <w:r w:rsidR="006855FA" w:rsidRPr="00EC5244">
        <w:rPr>
          <w:lang w:val="en-CA"/>
        </w:rPr>
        <w:fldChar w:fldCharType="end"/>
      </w:r>
      <w:r w:rsidRPr="00EC5244">
        <w:t xml:space="preserve"> can automatically be interprete</w:t>
      </w:r>
      <w:r w:rsidR="003673FB" w:rsidRPr="00EC5244">
        <w:t>d in terms of the KB integrals.</w:t>
      </w:r>
      <w:r w:rsidR="00E37E5E" w:rsidRPr="00EC5244">
        <w:fldChar w:fldCharType="begin" w:fldLock="1"/>
      </w:r>
      <w:r w:rsidR="003F4562" w:rsidRPr="00EC5244">
        <w:instrText>ADDIN CSL_CITATION { "citationItems" : [ { "id" : "ITEM-1", "itemData" : { "DOI" : "10.1063/1.2186324", "ISSN" : "0021-9606", "author" : [ { "dropping-particle" : "", "family" : "Matubayasi", "given" : "Nobuyuki", "non-dropping-particle" : "", "parse-names" : false, "suffix" : "" }, { "dropping-particle" : "", "family" : "Liang", "given" : "Kuo Kan", "non-dropping-particle" : "", "parse-names" : false, "suffix" : "" }, { "dropping-particle" : "", "family" : "Nakahara", "given" : "Masaru", "non-dropping-particle" : "", "parse-names" : false, "suffix" : "" } ], "container-title" : "The Journal of Chemical Physics", "id" : "ITEM-1", "issue" : "15", "issued" : { "date-parts" : [ [ "2006", "4", "21" ] ] }, "page" : "154908", "title" : "Free-energy analysis of solubilization in micelle", "type" : "article-journal", "volume" : "124" }, "uris" : [ "http://www.mendeley.com/documents/?uuid=d1f0e9c1-c8cc-3891-ab25-bfeb8a83a8f0" ] } ], "mendeley" : { "formattedCitation" : "&lt;sup&gt;30&lt;/sup&gt;", "plainTextFormattedCitation" : "30", "previouslyFormattedCitation" : "&lt;sup&gt;30&lt;/sup&gt;" }, "properties" : { "noteIndex" : 0 }, "schema" : "https://github.com/citation-style-language/schema/raw/master/csl-citation.json" }</w:instrText>
      </w:r>
      <w:r w:rsidR="00E37E5E" w:rsidRPr="00EC5244">
        <w:fldChar w:fldCharType="separate"/>
      </w:r>
      <w:r w:rsidR="00E37E5E" w:rsidRPr="00EC5244">
        <w:rPr>
          <w:noProof/>
          <w:vertAlign w:val="superscript"/>
        </w:rPr>
        <w:t>30</w:t>
      </w:r>
      <w:r w:rsidR="00E37E5E" w:rsidRPr="00EC5244">
        <w:fldChar w:fldCharType="end"/>
      </w:r>
      <w:r w:rsidR="003673FB" w:rsidRPr="00EC5244">
        <w:t xml:space="preserve"> </w:t>
      </w:r>
    </w:p>
    <w:p w14:paraId="521045BF" w14:textId="77777777" w:rsidR="003673FB" w:rsidRPr="00EC5244" w:rsidRDefault="003673FB" w:rsidP="003673FB">
      <w:pPr>
        <w:pStyle w:val="TAMainText"/>
      </w:pPr>
    </w:p>
    <w:p w14:paraId="75ED12DF" w14:textId="7A357E95" w:rsidR="003673FB" w:rsidRPr="00EC5244" w:rsidRDefault="000C61EC" w:rsidP="003673FB">
      <w:pPr>
        <w:pStyle w:val="TAMainText"/>
        <w:rPr>
          <w:color w:val="FF0000"/>
          <w:lang w:eastAsia="ja-JP"/>
        </w:rPr>
      </w:pPr>
      <w:r w:rsidRPr="00EC5244">
        <w:t xml:space="preserve">(2) </w:t>
      </w:r>
      <w:r w:rsidR="003673FB" w:rsidRPr="00EC5244">
        <w:t xml:space="preserve">The KB integral interpretation of </w:t>
      </w:r>
      <w:r w:rsidR="00FD08BC" w:rsidRPr="00EC5244">
        <w:t xml:space="preserve">what is now the fitting parameter </w:t>
      </w:r>
      <m:oMath>
        <m:sSub>
          <m:sSubPr>
            <m:ctrlPr>
              <w:rPr>
                <w:rFonts w:ascii="Cambria Math" w:hAnsi="Cambria Math"/>
                <w:i/>
              </w:rPr>
            </m:ctrlPr>
          </m:sSubPr>
          <m:e>
            <m:r>
              <w:rPr>
                <w:rFonts w:ascii="Cambria Math" w:hAnsi="Cambria Math"/>
              </w:rPr>
              <m:t>K</m:t>
            </m:r>
          </m:e>
          <m:sub>
            <m:r>
              <w:rPr>
                <w:rFonts w:ascii="Cambria Math" w:hAnsi="Cambria Math"/>
              </w:rPr>
              <m:t>M</m:t>
            </m:r>
          </m:sub>
        </m:sSub>
      </m:oMath>
      <w:r w:rsidR="003673FB" w:rsidRPr="00EC5244">
        <w:t xml:space="preserve"> is consistent with </w:t>
      </w:r>
      <w:r w:rsidR="00FF1758" w:rsidRPr="00EC5244">
        <w:t>accumula</w:t>
      </w:r>
      <w:r w:rsidR="003673FB" w:rsidRPr="00EC5244">
        <w:t>ting</w:t>
      </w:r>
      <w:r w:rsidR="00FF1758" w:rsidRPr="00EC5244">
        <w:t xml:space="preserve"> evidence </w:t>
      </w:r>
      <w:r w:rsidR="003673FB" w:rsidRPr="00EC5244">
        <w:t>that a solute can be not only within the micelles but also embedded in the micellar layer or bound to the micellar surface.</w:t>
      </w:r>
      <w:r w:rsidR="00FD08BC" w:rsidRPr="00EC5244">
        <w:rPr>
          <w:lang w:val="en-CA"/>
        </w:rPr>
        <w:fldChar w:fldCharType="begin" w:fldLock="1"/>
      </w:r>
      <w:r w:rsidR="0039109D" w:rsidRPr="00EC5244">
        <w:rPr>
          <w:lang w:val="en-CA"/>
        </w:rPr>
        <w:instrText>ADDIN CSL_CITATION { "citationItems" : [ { "id" : "ITEM-1", "itemData" : { "DOI" : "10.1021/jp066926w", "ISSN" : "1520-6106", "PMID" : "17388443", "abstract" : "Water solubility enhancements of polycyclic aromatic hydrocarbons (PAHs), viz., naphthalene, anthracene and pyrene, by micellar solutions at 25 degrees C using two series of surfactants, each involving two cationic and one nonionic surfactant in their single as well as equimolar binary and ternary mixed states, were measured and compared. The first series was composed of three surfactants, benzylhexadecyldimethylammonium chloride (C16BzCl), hexadecyltrimethylammonium bromide (C16Br), and polyoxyethylene(20)mono-n-hexadecyl ether (Brij-58) with a 16-carbon (C16) hydrophobic chain; the second series consisted of dodecyltrimethylammonium bromide (C12Br), dodecylethyldimethylammonium bromide (C12EBr), and polyoxyethylene(4)mono-n-dodecyl ether (Brij-30) with a 12-carbon (C12) chain. Solubilization capacity has been quantified in terms of the molar solubilization ratio, the micelle-water partition coefficient, the first stepwise association constant between solubilizate monomer and vacant micelle, and the average number of solubilizate molecules per micelle, determined employing spectrophoto-, tensio-, and flourimetric techniques. Cationic surfactants exhibited lesser solubilization capacity than nonionics in each series of surfactants with higher efficiency in the C16 series compared to the C12 series. Increase in hydrophobicity of head groups of cationics by incorporation of ethyl or benzyl groups enhanced their solubilization capacity. The mixing effect of surfactants on mixed micelle formation and solubilization efficiency has been discussed in light of the regular solution approximation (RSA). Cationic-nonionic binary combinations showed better solubilization capacity than pure cationics, nonionics, or cationic-cationic mixtures, which, in general, showed increase with increased hydrophobicity of PAHs. Equimolar cationic-cationic-nonionic ternary surfactant systems showed lower solubilization efficiency than their binary cationic-nonionic counterparts but higher than cationic-cationic ones. In addition, use of RSA has been extended, with fair success, to predict partition coefficients of ternary surfactant systems using data of binary surfactants systems. Mixed surfactants may improve the performance of surfactant-enhanced remediation of soils and sediments by decreasing the applied surfactant level and thus remediation cost.", "author" : [ { "dropping-particle" : "", "family" : "Dar", "given" : "Aijaz Ahmad", "non-dropping-particle" : "", "parse-names" : false, "suffix" : "" }, { "dropping-particle" : "", "family" : "Rather", "given" : "Ghulam Mohammad", "non-dropping-particle" : "", "parse-names" : false, "suffix" : "" }, { "dropping-particle" : "", "family" : "Das", "given" : "Akhil Ranjan", "non-dropping-particle" : "", "parse-names" : false, "suffix" : "" } ], "container-title" : "Journal of Physical Chemistry Bhysical chemistry. B", "id" : "ITEM-1", "issue" : "91", "issued" : { "date-parts" : [ [ "2007" ] ] }, "page" : "3122-3132", "title" : "Mixed Micelle Formation and Solubilization Behavior toward Polycyclic Aromatic Hydrocarbons of Binary and Ternary Cationic-Nonionic Surfactant Mixtures", "type" : "article-journal", "volume" : "111" }, "uris" : [ "http://www.mendeley.com/documents/?uuid=b113b83d-8834-4215-8d50-34a5d1cd8c2e" ] }, { "id" : "ITEM-2", "itemData" : { "DOI" : "10.1021/jp807229c", "ISBN" : "1520-6106 (Print)\\r1520-5207 (Linking)", "ISSN" : "15206106", "PMID" : "19123827", "abstract" : "Mixed surfactants may improve the performance of surfactant-enhanced solubilization of drugs and thus can serve as the tool for increased bioavalaibility, controlled drug release, and targeted delivery. Solubilization of Naproxen by micellar solutions at 25 degrees C using single and mixed surfactant systems was measured and compared. Solubilization capacity determined with spectrophotometry and tensiometry has been quantified in terms of molar solubilization ratio, micelle-water partition coefficient, and locus of solubilization. Cationic surfactants exhibited higher solubilization capacity than nonionics and anionics, the efficiency increasing with chain length. Mixing effect of surfactants on mixed micelle formation and solubilization efficiency has been discussed in light of regular solution approximation (RSA). Equimolar cationic-nonionic surfactant combinations showed better solubilization capacity than pure cationics or nonionics, which, in general, increased with increase in hydrophobic chain length. Equimolar cationic-nonionic-nonionic ternary surfactant systems exhibited intermediate solubilization efficiency between their single and binary counterparts. Use of RSA has been extended, with fair success, to predict the partition coefficient of ternary surfactant systems using data from binary mixtures. The theoretical micelle-water partition coefficients calculated from the geometric mean equation compared well with experimental values. Locus of solubilization of NAP in different micellar solutions was probed by UV-visible spectroscopy.", "author" : [ { "dropping-particle" : "", "family" : "Bhat", "given" : "Parvaiz Ahmad", "non-dropping-particle" : "", "parse-names" : false, "suffix" : "" }, { "dropping-particle" : "", "family" : "Rather", "given" : "Ghulam Mohammad", "non-dropping-particle" : "", "parse-names" : false, "suffix" : "" }, { "dropping-particle" : "", "family" : "Dar", "given" : "Aijaz Ahmad", "non-dropping-particle" : "", "parse-names" : false, "suffix" : "" } ], "container-title" : "Journal of Physical Chemistry B", "id" : "ITEM-2", "issue" : "4", "issued" : { "date-parts" : [ [ "2009" ] ] }, "page" : "997-1006", "title" : "Effect of surfactant mixing on partitioning of model hydrophobic drug, Naproxen, between aqueous and micellar phases", "type" : "article-journal", "volume" : "113" }, "uris" : [ "http://www.mendeley.com/documents/?uuid=d84334cf-5cc1-4eb3-aa81-75f74ef04186" ] }, { "id" : "ITEM-3", "itemData" : { "abstract" : "PURPOSE: Micellar solubilization is a pow-erful alternative for dissolving hydrophobic drugs in aqueous environments. In this work, we provide an insight into this subject. METHODS: A concise review of surfactants and micelles applications in phar-macy was carried out. RESULTS: Initially, a descrip-tion of surfactants and aqueous micellar systems is presented. Following, an extensive review on micellar drug solubilization, including both the principles involved on this phenomenon and the work already done regarding solubilization of drugs by micelles is presented. The application of micelles in drug delivery, in order to minimize drug degradation and loss, to pre-vent harmful side effects, and to increase drug bioavail-ability, is also presented. Special emphasis is given to the more recent use of polymeric micelles. Finally, we briefly discuss the importance of surfactants and micelles as biological systems models as well as its application in micellar catalysis. CONCLUSIONS: As can be seen from the review presented, the use of micelles in pharmacy is an important tool that finds numerous applications.", "author" : [ { "dropping-particle" : "", "family" : "Oliveira", "given" : "Carlota", "non-dropping-particle" : "De", "parse-names" : false, "suffix" : "" }, { "dropping-particle" : "", "family" : "Yagui", "given" : "Rangel", "non-dropping-particle" : "", "parse-names" : false, "suffix" : "" }, { "dropping-particle" : "", "family" : "Lineu Prestes", "given" : "Av", "non-dropping-particle" : "", "parse-names" : false, "suffix" : "" }, { "dropping-particle" : "", "family" : "Rangel-Yagui", "given" : "Carlota O", "non-dropping-particle" : "", "parse-names" : false, "suffix" : "" }, { "dropping-particle" : "", "family" : "Pessoa-Jr", "given" : "Adalberto", "non-dropping-particle" : "", "parse-names" : false, "suffix" : "" }, { "dropping-particle" : "", "family" : "Tavares", "given" : "Leoberto Costa", "non-dropping-particle" : "", "parse-names" : false, "suffix" : "" } ], "container-title" : "J Pharm Pharmaceut Sci (www.cspscanada.org)", "id" : "ITEM-3", "issue" : "2", "issued" : { "date-parts" : [ [ "2005" ] ] }, "page" : "147-163", "title" : "Micellar solubilization of drugs", "type" : "article-journal", "volume" : "8" }, "uris" : [ "http://www.mendeley.com/documents/?uuid=d0113e2b-dff8-3380-95eb-ce76cebe0d00" ] }, { "id" : "ITEM-4", "itemData" : { "DOI" : "10.1063/1.2186324", "ISSN" : "0021-9606", "author" : [ { "dropping-particle" : "", "family" : "Matubayasi", "given" : "Nobuyuki", "non-dropping-particle" : "", "parse-names" : false, "suffix" : "" }, { "dropping-particle" : "", "family" : "Liang", "given" : "Kuo Kan", "non-dropping-particle" : "", "parse-names" : false, "suffix" : "" }, { "dropping-particle" : "", "family" : "Nakahara", "given" : "Masaru", "non-dropping-particle" : "", "parse-names" : false, "suffix" : "" } ], "container-title" : "The Journal of Chemical Physics", "id" : "ITEM-4", "issue" : "15", "issued" : { "date-parts" : [ [ "2006", "4", "21" ] ] }, "page" : "154908", "title" : "Free-energy analysis of solubilization in micelle", "type" : "article-journal", "volume" : "124" }, "uris" : [ "http://www.mendeley.com/documents/?uuid=d1f0e9c1-c8cc-3891-ab25-bfeb8a83a8f0" ] } ], "mendeley" : { "formattedCitation" : "&lt;sup&gt;30,44,48,49&lt;/sup&gt;", "plainTextFormattedCitation" : "30,44,48,49", "previouslyFormattedCitation" : "&lt;sup&gt;30,44,48,49&lt;/sup&gt;" }, "properties" : { "noteIndex" : 0 }, "schema" : "https://github.com/citation-style-language/schema/raw/master/csl-citation.json" }</w:instrText>
      </w:r>
      <w:r w:rsidR="00FD08BC" w:rsidRPr="00EC5244">
        <w:rPr>
          <w:lang w:val="en-CA"/>
        </w:rPr>
        <w:fldChar w:fldCharType="separate"/>
      </w:r>
      <w:r w:rsidR="0039109D" w:rsidRPr="00EC5244">
        <w:rPr>
          <w:noProof/>
          <w:vertAlign w:val="superscript"/>
          <w:lang w:val="en-CA"/>
        </w:rPr>
        <w:t>30,44,48,49</w:t>
      </w:r>
      <w:r w:rsidR="00FD08BC" w:rsidRPr="00EC5244">
        <w:rPr>
          <w:lang w:val="en-CA"/>
        </w:rPr>
        <w:fldChar w:fldCharType="end"/>
      </w:r>
      <w:r w:rsidR="003673FB" w:rsidRPr="00EC5244">
        <w:t xml:space="preserve"> Such diversity in the solute location can be probed by simulation and can naturally be incorporated into the KB integrals as in the form of Eq. (10), but breaks the simple interpretation of </w:t>
      </w:r>
      <m:oMath>
        <m:sSub>
          <m:sSubPr>
            <m:ctrlPr>
              <w:rPr>
                <w:rFonts w:ascii="Cambria Math" w:hAnsi="Cambria Math"/>
                <w:i/>
              </w:rPr>
            </m:ctrlPr>
          </m:sSubPr>
          <m:e>
            <m:r>
              <w:rPr>
                <w:rFonts w:ascii="Cambria Math" w:hAnsi="Cambria Math"/>
              </w:rPr>
              <m:t>K</m:t>
            </m:r>
          </m:e>
          <m:sub>
            <m:r>
              <w:rPr>
                <w:rFonts w:ascii="Cambria Math" w:hAnsi="Cambria Math"/>
              </w:rPr>
              <m:t>M</m:t>
            </m:r>
          </m:sub>
        </m:sSub>
      </m:oMath>
      <w:r w:rsidR="003673FB" w:rsidRPr="00EC5244">
        <w:t xml:space="preserve"> as the partition coefficient of a solute between the aqueous p</w:t>
      </w:r>
      <w:r w:rsidR="00FD08BC" w:rsidRPr="00EC5244">
        <w:t>hase and the micellar interior modelled as pseudo-phase.</w:t>
      </w:r>
      <w:r w:rsidR="00FD08BC" w:rsidRPr="00EC5244">
        <w:rPr>
          <w:lang w:val="en-CA"/>
        </w:rPr>
        <w:fldChar w:fldCharType="begin" w:fldLock="1"/>
      </w:r>
      <w:r w:rsidR="0039109D" w:rsidRPr="00EC5244">
        <w:rPr>
          <w:lang w:val="en-CA"/>
        </w:rPr>
        <w:instrText>ADDIN CSL_CITATION { "citationItems" : [ { "id" : "ITEM-1", "itemData" : { "DOI" : "10.1002/jps.2600640733", "ISSN" : "00223549", "author" : [ { "dropping-particle" : "", "family" : "Collett", "given" : "J.H.", "non-dropping-particle" : "", "parse-names" : false, "suffix" : "" }, { "dropping-particle" : "", "family" : "Koo", "given" : "L.", "non-dropping-particle" : "", "parse-names" : false, "suffix" : "" } ], "container-title" : "Journal of Pharmaceutical Sciences", "id" : "ITEM-1", "issue" : "7", "issued" : { "date-parts" : [ [ "1975", "7" ] ] }, "page" : "1253-1255", "publisher" : "Wiley Subscription Services, Inc., A Wiley Company", "title" : "Interaction of Substituted Benzoic Acids with Polysorbate 20 Micelles", "type" : "article-journal", "volume" : "64" }, "uris" : [ "http://www.mendeley.com/documents/?uuid=de61035d-6eb8-3fe5-8f91-8c1d4374724c" ] }, { "id" : "ITEM-2", "itemData" : { "DOI" : "10.1021/es00065a012", "ISSN" : "0013-936X", "author" : [ { "dropping-particle" : "", "family" : "Kile", "given" : "D E", "non-dropping-particle" : "", "parse-names" : false, "suffix" : "" }, { "dropping-particle" : "", "family" : "Chiou", "given" : "C T", "non-dropping-particle" : "", "parse-names" : false, "suffix" : "" } ], "container-title" : "Environmental Science and Technology", "id" : "ITEM-2", "issued" : { "date-parts" : [ [ "1989" ] ] }, "page" : "832-838", "title" : "Water solubility enhancements of DDT and trichorobenzene by some surfactants below and above the critical micelle concentration", "type" : "article-journal", "volume" : "23" }, "uris" : [ "http://www.mendeley.com/documents/?uuid=b910ca79-c4f4-48bb-8c43-492521ccbf7f" ] }, { "id" : "ITEM-3", "itemData" : { "DOI" : "10.1016/S0378-5173(00)00386-0", "ISSN" : "03785173", "PMID" : "10867251", "abstract" : "The molar solubilization capacities (??) and the molar micelle-water partition coefficients (K(M)(N)) in Polysorbate 80 of several drugs (including barbiturates, steroids, and benzoic acid derivatives) are related to their log octanol-water partition coefficients (logP). Both ?? and K(M)(N) values were calculated from solubility versus Polysorbate 80 concentration profiles, which were either experimentally determined or obtained from the literature. There is a linear relationship between logP of the tested compounds and the logarithm of the molar micelle-water partition coefficient (logK(M)(N)). On the other hand molar solubilization capacities are nearly independent of logP. It is shown that the ability of Polysorbate 80 to solubilize a drug can be predicted from its logP value. Copyright (C) 2000 Elsevier Science B.V.", "author" : [ { "dropping-particle" : "", "family" : "Alvarez-N\u00fa\u00f1ez", "given" : "F. A.", "non-dropping-particle" : "", "parse-names" : false, "suffix" : "" }, { "dropping-particle" : "", "family" : "Yalkowsky", "given" : "S. H.", "non-dropping-particle" : "", "parse-names" : false, "suffix" : "" } ], "container-title" : "International Journal of Pharmaceutics", "id" : "ITEM-3", "issue" : "2", "issued" : { "date-parts" : [ [ "2000" ] ] }, "page" : "217-222", "title" : "Relationship between Polysorbate 80 solubilization descriptors and octanol-water partition coefficients of drugs", "type" : "article-journal", "volume" : "200" }, "uris" : [ "http://www.mendeley.com/documents/?uuid=5d4381f1-b1ac-4f61-b0d3-1260484f5d19" ] } ], "mendeley" : { "formattedCitation" : "&lt;sup&gt;43,45,46&lt;/sup&gt;", "plainTextFormattedCitation" : "43,45,46", "previouslyFormattedCitation" : "&lt;sup&gt;43,45,46&lt;/sup&gt;" }, "properties" : { "noteIndex" : 0 }, "schema" : "https://github.com/citation-style-language/schema/raw/master/csl-citation.json" }</w:instrText>
      </w:r>
      <w:r w:rsidR="00FD08BC" w:rsidRPr="00EC5244">
        <w:rPr>
          <w:lang w:val="en-CA"/>
        </w:rPr>
        <w:fldChar w:fldCharType="separate"/>
      </w:r>
      <w:r w:rsidR="0039109D" w:rsidRPr="00EC5244">
        <w:rPr>
          <w:noProof/>
          <w:vertAlign w:val="superscript"/>
          <w:lang w:val="en-CA"/>
        </w:rPr>
        <w:t>43,45,46</w:t>
      </w:r>
      <w:r w:rsidR="00FD08BC" w:rsidRPr="00EC5244">
        <w:rPr>
          <w:lang w:val="en-CA"/>
        </w:rPr>
        <w:fldChar w:fldCharType="end"/>
      </w:r>
      <w:r w:rsidR="00FD08BC" w:rsidRPr="00EC5244">
        <w:t xml:space="preserve"> </w:t>
      </w:r>
    </w:p>
    <w:p w14:paraId="2B084DA6" w14:textId="77777777" w:rsidR="003673FB" w:rsidRPr="00EC5244" w:rsidRDefault="003673FB" w:rsidP="003673FB">
      <w:pPr>
        <w:pStyle w:val="TAMainText"/>
      </w:pPr>
    </w:p>
    <w:p w14:paraId="213ED6DB" w14:textId="1E09DE67" w:rsidR="004A728B" w:rsidRPr="00EC5244" w:rsidRDefault="003673FB" w:rsidP="003673FB">
      <w:pPr>
        <w:pStyle w:val="TAMainText"/>
        <w:rPr>
          <w:lang w:val="en-CA"/>
        </w:rPr>
      </w:pPr>
      <w:r w:rsidRPr="00EC5244">
        <w:t xml:space="preserve">(3) This partition coefficient </w:t>
      </w:r>
      <m:oMath>
        <m:sSub>
          <m:sSubPr>
            <m:ctrlPr>
              <w:rPr>
                <w:rFonts w:ascii="Cambria Math" w:hAnsi="Cambria Math"/>
                <w:i/>
              </w:rPr>
            </m:ctrlPr>
          </m:sSubPr>
          <m:e>
            <m:r>
              <w:rPr>
                <w:rFonts w:ascii="Cambria Math" w:hAnsi="Cambria Math"/>
              </w:rPr>
              <m:t>K</m:t>
            </m:r>
          </m:e>
          <m:sub>
            <m:r>
              <w:rPr>
                <w:rFonts w:ascii="Cambria Math" w:hAnsi="Cambria Math"/>
              </w:rPr>
              <m:t>M</m:t>
            </m:r>
          </m:sub>
        </m:sSub>
      </m:oMath>
      <w:r w:rsidRPr="00EC5244">
        <w:t xml:space="preserve"> has </w:t>
      </w:r>
      <w:r w:rsidR="00FE1D65" w:rsidRPr="00EC5244">
        <w:rPr>
          <w:lang w:val="en-CA"/>
        </w:rPr>
        <w:t>an entirely different significance from the partition</w:t>
      </w:r>
      <w:r w:rsidRPr="00EC5244">
        <w:rPr>
          <w:lang w:val="en-CA"/>
        </w:rPr>
        <w:t xml:space="preserve"> coefficient in biphasic systems, where the latter </w:t>
      </w:r>
      <w:r w:rsidR="00FA2F3A" w:rsidRPr="00EC5244">
        <w:rPr>
          <w:lang w:val="en-CA"/>
        </w:rPr>
        <w:t xml:space="preserve">could not be </w:t>
      </w:r>
      <w:r w:rsidR="00FE1D65" w:rsidRPr="00EC5244">
        <w:rPr>
          <w:lang w:val="en-CA"/>
        </w:rPr>
        <w:t xml:space="preserve">decomposed </w:t>
      </w:r>
      <w:r w:rsidR="00FA2F3A" w:rsidRPr="00EC5244">
        <w:rPr>
          <w:lang w:val="en-CA"/>
        </w:rPr>
        <w:t xml:space="preserve">further </w:t>
      </w:r>
      <w:r w:rsidR="00FE1D65" w:rsidRPr="00EC5244">
        <w:rPr>
          <w:lang w:val="en-CA"/>
        </w:rPr>
        <w:t>into solute-water and solute-hydrotrope interaction</w:t>
      </w:r>
      <w:r w:rsidR="00FA2F3A" w:rsidRPr="00EC5244">
        <w:rPr>
          <w:lang w:val="en-CA"/>
        </w:rPr>
        <w:t>s</w:t>
      </w:r>
      <w:r w:rsidR="00102DCF" w:rsidRPr="00EC5244">
        <w:rPr>
          <w:lang w:val="en-CA"/>
        </w:rPr>
        <w:t xml:space="preserve"> (corresponding to the potentials of mean force)</w:t>
      </w:r>
      <w:r w:rsidR="00FA2F3A" w:rsidRPr="00EC5244">
        <w:rPr>
          <w:lang w:val="en-CA"/>
        </w:rPr>
        <w:t>, due to the limited number of independent variables. I</w:t>
      </w:r>
      <w:r w:rsidR="00FE1D65" w:rsidRPr="00EC5244">
        <w:rPr>
          <w:lang w:val="en-CA"/>
        </w:rPr>
        <w:t xml:space="preserve">n </w:t>
      </w:r>
      <w:r w:rsidR="00FA2F3A" w:rsidRPr="00EC5244">
        <w:rPr>
          <w:lang w:val="en-CA"/>
        </w:rPr>
        <w:t xml:space="preserve">contrast, for </w:t>
      </w:r>
      <w:r w:rsidR="00FE1D65" w:rsidRPr="00EC5244">
        <w:rPr>
          <w:lang w:val="en-CA"/>
        </w:rPr>
        <w:t>micellar solution</w:t>
      </w:r>
      <w:r w:rsidR="00FA2F3A" w:rsidRPr="00EC5244">
        <w:rPr>
          <w:lang w:val="en-CA"/>
        </w:rPr>
        <w:t xml:space="preserve">s, micelle-water partition </w:t>
      </w:r>
      <w:r w:rsidR="00FE1D65" w:rsidRPr="00EC5244">
        <w:rPr>
          <w:lang w:val="en-CA"/>
        </w:rPr>
        <w:t xml:space="preserve">coefficient </w:t>
      </w:r>
      <w:r w:rsidR="00FA2F3A" w:rsidRPr="00EC5244">
        <w:rPr>
          <w:lang w:val="en-CA"/>
        </w:rPr>
        <w:t xml:space="preserve">comprises of </w:t>
      </w:r>
      <w:r w:rsidR="00FE1D65" w:rsidRPr="00EC5244">
        <w:rPr>
          <w:lang w:val="en-CA"/>
        </w:rPr>
        <w:t>a competition between solute-water and solute-micelle interactions both of which are independently-determinabl</w:t>
      </w:r>
      <w:r w:rsidR="00FA2F3A" w:rsidRPr="00EC5244">
        <w:rPr>
          <w:lang w:val="en-CA"/>
        </w:rPr>
        <w:t>e, because the micelle-water mixture, being in a single phase,</w:t>
      </w:r>
      <w:r w:rsidR="00FE1D65" w:rsidRPr="00EC5244">
        <w:rPr>
          <w:lang w:val="en-CA"/>
        </w:rPr>
        <w:t xml:space="preserve"> </w:t>
      </w:r>
      <w:r w:rsidR="00FA2F3A" w:rsidRPr="00EC5244">
        <w:rPr>
          <w:lang w:val="en-CA"/>
        </w:rPr>
        <w:t xml:space="preserve">has one more degree of freedom that aqueous biphasic systems. </w:t>
      </w:r>
    </w:p>
    <w:p w14:paraId="3ACB509A" w14:textId="6A82D51C" w:rsidR="00CD7325" w:rsidRPr="00EC5244" w:rsidRDefault="00CD7325" w:rsidP="00283FBB">
      <w:pPr>
        <w:pStyle w:val="TAMainText"/>
        <w:ind w:firstLine="0"/>
        <w:rPr>
          <w:lang w:val="en-CA"/>
        </w:rPr>
      </w:pPr>
    </w:p>
    <w:p w14:paraId="12A2B3F0" w14:textId="47ABD18C" w:rsidR="00EA168C" w:rsidRPr="00EC5244" w:rsidRDefault="006F588C" w:rsidP="00283FBB">
      <w:pPr>
        <w:pStyle w:val="TAMainText"/>
        <w:ind w:firstLine="0"/>
        <w:rPr>
          <w:b/>
          <w:lang w:val="en-CA"/>
        </w:rPr>
      </w:pPr>
      <w:r w:rsidRPr="00EC5244">
        <w:rPr>
          <w:b/>
          <w:lang w:val="en-CA"/>
        </w:rPr>
        <w:t>4</w:t>
      </w:r>
      <w:r w:rsidR="00B076C9" w:rsidRPr="00EC5244">
        <w:rPr>
          <w:b/>
          <w:lang w:val="en-CA"/>
        </w:rPr>
        <w:t>.2</w:t>
      </w:r>
      <w:r w:rsidR="008A3FA6" w:rsidRPr="00EC5244">
        <w:rPr>
          <w:b/>
          <w:lang w:val="en-CA"/>
        </w:rPr>
        <w:t>. H</w:t>
      </w:r>
      <w:r w:rsidR="00B076C9" w:rsidRPr="00EC5244">
        <w:rPr>
          <w:b/>
          <w:lang w:val="en-CA"/>
        </w:rPr>
        <w:t>ydrotropy with a</w:t>
      </w:r>
      <w:r w:rsidR="00EA168C" w:rsidRPr="00EC5244">
        <w:rPr>
          <w:b/>
          <w:lang w:val="en-CA"/>
        </w:rPr>
        <w:t xml:space="preserve">mbiguous phase behaviour </w:t>
      </w:r>
    </w:p>
    <w:p w14:paraId="7DB91778" w14:textId="7FAD9482" w:rsidR="00FD6CBE" w:rsidRPr="00EC5244" w:rsidRDefault="00FD6CBE" w:rsidP="00283FBB">
      <w:pPr>
        <w:pStyle w:val="TAMainText"/>
        <w:ind w:firstLine="0"/>
        <w:rPr>
          <w:lang w:val="en-CA"/>
        </w:rPr>
      </w:pPr>
    </w:p>
    <w:p w14:paraId="0067CA7B" w14:textId="15E2ECE5" w:rsidR="003673FB" w:rsidRPr="00EC5244" w:rsidRDefault="00323160" w:rsidP="003673FB">
      <w:pPr>
        <w:pStyle w:val="TAMainText"/>
        <w:ind w:firstLine="0"/>
        <w:rPr>
          <w:lang w:val="en-CA"/>
        </w:rPr>
      </w:pPr>
      <w:r w:rsidRPr="00EC5244">
        <w:rPr>
          <w:lang w:val="en-CA"/>
        </w:rPr>
        <w:t>W</w:t>
      </w:r>
      <w:r w:rsidR="003673FB" w:rsidRPr="00EC5244">
        <w:rPr>
          <w:lang w:val="en-CA"/>
        </w:rPr>
        <w:t xml:space="preserve">e have </w:t>
      </w:r>
      <w:r w:rsidRPr="00EC5244">
        <w:rPr>
          <w:lang w:val="en-CA"/>
        </w:rPr>
        <w:t xml:space="preserve">thus </w:t>
      </w:r>
      <w:r w:rsidR="003673FB" w:rsidRPr="00EC5244">
        <w:rPr>
          <w:lang w:val="en-CA"/>
        </w:rPr>
        <w:t xml:space="preserve">derived </w:t>
      </w:r>
      <w:r w:rsidRPr="00EC5244">
        <w:rPr>
          <w:lang w:val="en-CA"/>
        </w:rPr>
        <w:t xml:space="preserve">the </w:t>
      </w:r>
      <w:r w:rsidR="003673FB" w:rsidRPr="00EC5244">
        <w:rPr>
          <w:lang w:val="en-CA"/>
        </w:rPr>
        <w:t>two partition coefficients</w:t>
      </w:r>
      <w:r w:rsidRPr="00EC5244">
        <w:rPr>
          <w:lang w:val="en-CA"/>
        </w:rPr>
        <w:t xml:space="preserve"> that are</w:t>
      </w:r>
      <w:r w:rsidR="003673FB" w:rsidRPr="00EC5244">
        <w:rPr>
          <w:lang w:val="en-CA"/>
        </w:rPr>
        <w:t xml:space="preserve"> </w:t>
      </w:r>
      <w:r w:rsidRPr="00EC5244">
        <w:rPr>
          <w:lang w:val="en-CA"/>
        </w:rPr>
        <w:t xml:space="preserve">similar </w:t>
      </w:r>
      <w:r w:rsidR="003673FB" w:rsidRPr="00EC5244">
        <w:rPr>
          <w:lang w:val="en-CA"/>
        </w:rPr>
        <w:t>according to the classical theories but have fundame</w:t>
      </w:r>
      <w:r w:rsidRPr="00EC5244">
        <w:rPr>
          <w:lang w:val="en-CA"/>
        </w:rPr>
        <w:t>ntally different origins</w:t>
      </w:r>
      <w:r w:rsidR="003673FB" w:rsidRPr="00EC5244">
        <w:rPr>
          <w:lang w:val="en-CA"/>
        </w:rPr>
        <w:t xml:space="preserve">. </w:t>
      </w:r>
    </w:p>
    <w:p w14:paraId="4EE47A40" w14:textId="77777777" w:rsidR="00AD2E94" w:rsidRPr="00EC5244" w:rsidRDefault="00AD2E94" w:rsidP="003673FB">
      <w:pPr>
        <w:pStyle w:val="TAMainText"/>
        <w:ind w:firstLine="0"/>
        <w:rPr>
          <w:lang w:val="en-CA"/>
        </w:rPr>
      </w:pPr>
    </w:p>
    <w:p w14:paraId="6AE26E12" w14:textId="4FCC0BFF" w:rsidR="003673FB" w:rsidRPr="00EC5244" w:rsidRDefault="003673FB" w:rsidP="003673FB">
      <w:pPr>
        <w:pStyle w:val="TAMainText"/>
        <w:numPr>
          <w:ilvl w:val="0"/>
          <w:numId w:val="2"/>
        </w:numPr>
        <w:rPr>
          <w:lang w:val="en-CA"/>
        </w:rPr>
      </w:pPr>
      <w:r w:rsidRPr="00EC5244">
        <w:rPr>
          <w:lang w:val="en-CA"/>
        </w:rPr>
        <w:t>Micelle-water solution</w:t>
      </w:r>
      <w:r w:rsidR="00AC415A" w:rsidRPr="00EC5244">
        <w:rPr>
          <w:lang w:val="en-CA"/>
        </w:rPr>
        <w:t>s</w:t>
      </w:r>
      <w:r w:rsidRPr="00EC5244">
        <w:rPr>
          <w:lang w:val="en-CA"/>
        </w:rPr>
        <w:t xml:space="preserve"> form a single phase, which means that, at a constant temperature, both pressure and micellar concentrations can be changed independently, thereby</w:t>
      </w:r>
      <w:r w:rsidR="00323160" w:rsidRPr="00EC5244">
        <w:rPr>
          <w:lang w:val="en-CA"/>
        </w:rPr>
        <w:t xml:space="preserve"> guaranteeing the existence of </w:t>
      </w:r>
      <w:r w:rsidRPr="00EC5244">
        <w:rPr>
          <w:lang w:val="en-CA"/>
        </w:rPr>
        <w:t xml:space="preserve">solute-water and solute-micelle KB integrals. </w:t>
      </w:r>
    </w:p>
    <w:p w14:paraId="0BA59F01" w14:textId="08DD94E9" w:rsidR="003673FB" w:rsidRPr="00EC5244" w:rsidRDefault="003673FB" w:rsidP="003673FB">
      <w:pPr>
        <w:pStyle w:val="TAMainText"/>
        <w:numPr>
          <w:ilvl w:val="0"/>
          <w:numId w:val="2"/>
        </w:numPr>
        <w:rPr>
          <w:lang w:val="en-CA"/>
        </w:rPr>
      </w:pPr>
      <w:r w:rsidRPr="00EC5244">
        <w:rPr>
          <w:lang w:val="en-CA"/>
        </w:rPr>
        <w:t>The amount of hydrotrope-rich phase in the biphasic system is determined by the lever rule along the tie line; the pressure and composition cannot be changed independently, thereby the solute-water (rich phase) and solute hydrotrope (rich phase) i</w:t>
      </w:r>
      <w:r w:rsidR="00323160" w:rsidRPr="00EC5244">
        <w:rPr>
          <w:lang w:val="en-CA"/>
        </w:rPr>
        <w:t>nteractions cannot be separated</w:t>
      </w:r>
      <w:r w:rsidRPr="00EC5244">
        <w:rPr>
          <w:lang w:val="en-CA"/>
        </w:rPr>
        <w:t xml:space="preserve">. </w:t>
      </w:r>
    </w:p>
    <w:p w14:paraId="6BD1A395" w14:textId="77777777" w:rsidR="003673FB" w:rsidRPr="00EC5244" w:rsidRDefault="003673FB" w:rsidP="003673FB">
      <w:pPr>
        <w:pStyle w:val="TAMainText"/>
        <w:rPr>
          <w:lang w:val="en-CA"/>
        </w:rPr>
      </w:pPr>
    </w:p>
    <w:p w14:paraId="0898BE8D" w14:textId="79329600" w:rsidR="00EA168C" w:rsidRPr="00EC5244" w:rsidRDefault="003673FB" w:rsidP="00AD2E94">
      <w:pPr>
        <w:pStyle w:val="TAMainText"/>
        <w:rPr>
          <w:lang w:val="en-CA"/>
        </w:rPr>
      </w:pPr>
      <w:r w:rsidRPr="00EC5244">
        <w:rPr>
          <w:lang w:val="en-CA"/>
        </w:rPr>
        <w:t>These two p</w:t>
      </w:r>
      <w:r w:rsidR="00AD2E94" w:rsidRPr="00EC5244">
        <w:rPr>
          <w:lang w:val="en-CA"/>
        </w:rPr>
        <w:t xml:space="preserve">artition coefficients, albeit their </w:t>
      </w:r>
      <w:r w:rsidRPr="00EC5244">
        <w:rPr>
          <w:lang w:val="en-CA"/>
        </w:rPr>
        <w:t>completely dif</w:t>
      </w:r>
      <w:r w:rsidR="00AD2E94" w:rsidRPr="00EC5244">
        <w:rPr>
          <w:lang w:val="en-CA"/>
        </w:rPr>
        <w:t>ferent molecular origins, can both give rise to cooperative-like behaviour. This poses a serious difficulty in the systems with ambiguous or unclear phase rules, such as micro</w:t>
      </w:r>
      <w:r w:rsidR="00323160" w:rsidRPr="00EC5244">
        <w:rPr>
          <w:lang w:val="en-CA"/>
        </w:rPr>
        <w:t>-</w:t>
      </w:r>
      <w:r w:rsidR="00AD2E94" w:rsidRPr="00EC5244">
        <w:rPr>
          <w:lang w:val="en-CA"/>
        </w:rPr>
        <w:t xml:space="preserve">emulsions. </w:t>
      </w:r>
      <w:r w:rsidR="006855FA" w:rsidRPr="00EC5244">
        <w:rPr>
          <w:lang w:val="en-CA"/>
        </w:rPr>
        <w:t>This problem will be dis</w:t>
      </w:r>
      <w:r w:rsidR="002B3B0B" w:rsidRPr="00EC5244">
        <w:rPr>
          <w:lang w:val="en-CA"/>
        </w:rPr>
        <w:t>c</w:t>
      </w:r>
      <w:r w:rsidR="006F588C" w:rsidRPr="00EC5244">
        <w:rPr>
          <w:lang w:val="en-CA"/>
        </w:rPr>
        <w:t>ussed more in depth in Section 5</w:t>
      </w:r>
      <w:r w:rsidR="002B3B0B" w:rsidRPr="00EC5244">
        <w:rPr>
          <w:lang w:val="en-CA"/>
        </w:rPr>
        <w:t>.4</w:t>
      </w:r>
      <w:r w:rsidR="006855FA" w:rsidRPr="00EC5244">
        <w:rPr>
          <w:lang w:val="en-CA"/>
        </w:rPr>
        <w:t xml:space="preserve">. </w:t>
      </w:r>
    </w:p>
    <w:p w14:paraId="3B342BE1" w14:textId="2A706117" w:rsidR="00FC0470" w:rsidRPr="00EC5244" w:rsidRDefault="00FC0470" w:rsidP="00283FBB">
      <w:pPr>
        <w:pStyle w:val="TAMainText"/>
        <w:ind w:firstLine="0"/>
        <w:rPr>
          <w:b/>
          <w:lang w:val="en-CA"/>
        </w:rPr>
      </w:pPr>
    </w:p>
    <w:p w14:paraId="34498A65" w14:textId="40F52DEB" w:rsidR="00FA2F3A" w:rsidRPr="00EC5244" w:rsidRDefault="006F588C" w:rsidP="00FA2F3A">
      <w:pPr>
        <w:pStyle w:val="TAMainText"/>
        <w:ind w:firstLine="0"/>
        <w:rPr>
          <w:b/>
          <w:lang w:val="en-CA"/>
        </w:rPr>
      </w:pPr>
      <w:r w:rsidRPr="00EC5244">
        <w:rPr>
          <w:b/>
          <w:lang w:val="en-CA"/>
        </w:rPr>
        <w:t>5</w:t>
      </w:r>
      <w:r w:rsidR="006C558F" w:rsidRPr="00EC5244">
        <w:rPr>
          <w:b/>
          <w:lang w:val="en-CA"/>
        </w:rPr>
        <w:t>. Generalization to concentrated solutes</w:t>
      </w:r>
      <w:r w:rsidR="00FA2F3A" w:rsidRPr="00EC5244">
        <w:rPr>
          <w:b/>
          <w:lang w:val="en-CA"/>
        </w:rPr>
        <w:t xml:space="preserve"> </w:t>
      </w:r>
    </w:p>
    <w:p w14:paraId="66AF36B0" w14:textId="77777777" w:rsidR="00253ACE" w:rsidRPr="00EC5244" w:rsidRDefault="00253ACE" w:rsidP="00FA2F3A">
      <w:pPr>
        <w:pStyle w:val="TAMainText"/>
        <w:ind w:firstLine="0"/>
        <w:rPr>
          <w:lang w:val="en-CA"/>
        </w:rPr>
      </w:pPr>
    </w:p>
    <w:p w14:paraId="030D59A5" w14:textId="357E43FC" w:rsidR="00FA2F3A" w:rsidRPr="00EC5244" w:rsidRDefault="00FA2F3A" w:rsidP="00FA2F3A">
      <w:pPr>
        <w:pStyle w:val="TAMainText"/>
        <w:ind w:firstLine="0"/>
        <w:rPr>
          <w:lang w:val="en-CA"/>
        </w:rPr>
      </w:pPr>
      <w:r w:rsidRPr="00EC5244">
        <w:rPr>
          <w:lang w:val="en-CA"/>
        </w:rPr>
        <w:t xml:space="preserve">Here we </w:t>
      </w:r>
      <w:r w:rsidR="00675CF7" w:rsidRPr="00EC5244">
        <w:rPr>
          <w:lang w:val="en-CA"/>
        </w:rPr>
        <w:t xml:space="preserve">briefly present how </w:t>
      </w:r>
      <w:r w:rsidRPr="00EC5244">
        <w:rPr>
          <w:lang w:val="en-CA"/>
        </w:rPr>
        <w:t xml:space="preserve">our </w:t>
      </w:r>
      <w:r w:rsidR="00675CF7" w:rsidRPr="00EC5244">
        <w:rPr>
          <w:lang w:val="en-CA"/>
        </w:rPr>
        <w:t xml:space="preserve">rigorous statistical thermodynamic approach to hydrotropy, based on the KB theory and the </w:t>
      </w:r>
      <w:r w:rsidRPr="00EC5244">
        <w:rPr>
          <w:lang w:val="en-CA"/>
        </w:rPr>
        <w:t>phase rul</w:t>
      </w:r>
      <w:r w:rsidR="00675CF7" w:rsidRPr="00EC5244">
        <w:rPr>
          <w:lang w:val="en-CA"/>
        </w:rPr>
        <w:t xml:space="preserve">e, can be generalized to solutes beyond infinite dilution and to the </w:t>
      </w:r>
      <w:r w:rsidR="00675CF7" w:rsidRPr="00EC5244">
        <w:rPr>
          <w:i/>
          <w:lang w:val="en-CA"/>
        </w:rPr>
        <w:t>n</w:t>
      </w:r>
      <w:r w:rsidR="00675CF7" w:rsidRPr="00EC5244">
        <w:rPr>
          <w:lang w:val="en-CA"/>
        </w:rPr>
        <w:t xml:space="preserve">-component systems in general. </w:t>
      </w:r>
      <w:r w:rsidRPr="00EC5244">
        <w:rPr>
          <w:lang w:val="en-CA"/>
        </w:rPr>
        <w:t xml:space="preserve"> </w:t>
      </w:r>
    </w:p>
    <w:p w14:paraId="3823045F" w14:textId="77777777" w:rsidR="00FA2F3A" w:rsidRPr="00EC5244" w:rsidRDefault="00FA2F3A" w:rsidP="00FA2F3A">
      <w:pPr>
        <w:pStyle w:val="TAMainText"/>
        <w:ind w:firstLine="0"/>
        <w:rPr>
          <w:lang w:val="en-CA"/>
        </w:rPr>
      </w:pPr>
    </w:p>
    <w:p w14:paraId="575C5D3B" w14:textId="6B2A0774" w:rsidR="00FC0470" w:rsidRPr="00EC5244" w:rsidRDefault="006F588C" w:rsidP="00283FBB">
      <w:pPr>
        <w:pStyle w:val="TAMainText"/>
        <w:ind w:firstLine="0"/>
        <w:rPr>
          <w:b/>
          <w:lang w:val="en-CA"/>
        </w:rPr>
      </w:pPr>
      <w:r w:rsidRPr="00EC5244">
        <w:rPr>
          <w:b/>
          <w:lang w:val="en-CA"/>
        </w:rPr>
        <w:t>5</w:t>
      </w:r>
      <w:r w:rsidR="00FA2F3A" w:rsidRPr="00EC5244">
        <w:rPr>
          <w:b/>
          <w:lang w:val="en-CA"/>
        </w:rPr>
        <w:t>.1. Small molecule hydrotropes</w:t>
      </w:r>
    </w:p>
    <w:p w14:paraId="6958D399" w14:textId="77777777" w:rsidR="00253ACE" w:rsidRPr="00EC5244" w:rsidRDefault="00253ACE" w:rsidP="00283FBB">
      <w:pPr>
        <w:pStyle w:val="TAMainText"/>
        <w:ind w:firstLine="0"/>
        <w:rPr>
          <w:lang w:val="en-CA"/>
        </w:rPr>
      </w:pPr>
    </w:p>
    <w:p w14:paraId="05F23C3C" w14:textId="2CF8893B" w:rsidR="006C558F" w:rsidRPr="00EC5244" w:rsidRDefault="00B151FD" w:rsidP="00283FBB">
      <w:pPr>
        <w:pStyle w:val="TAMainText"/>
        <w:ind w:firstLine="0"/>
        <w:rPr>
          <w:lang w:val="en-CA"/>
        </w:rPr>
      </w:pPr>
      <w:r w:rsidRPr="00EC5244">
        <w:rPr>
          <w:lang w:val="en-CA"/>
        </w:rPr>
        <w:t>F</w:t>
      </w:r>
      <w:r w:rsidR="00713B03" w:rsidRPr="00EC5244">
        <w:rPr>
          <w:lang w:val="en-CA"/>
        </w:rPr>
        <w:t xml:space="preserve">or the sake of simplicity, let </w:t>
      </w:r>
      <w:r w:rsidRPr="00EC5244">
        <w:rPr>
          <w:lang w:val="en-CA"/>
        </w:rPr>
        <w:t>us focus on 3-component systems consisting of solute, water and hydrotrope, in which the solute</w:t>
      </w:r>
      <w:r w:rsidR="0037267E" w:rsidRPr="00EC5244">
        <w:rPr>
          <w:lang w:val="en-CA"/>
        </w:rPr>
        <w:t>,</w:t>
      </w:r>
      <w:r w:rsidRPr="00EC5244">
        <w:rPr>
          <w:lang w:val="en-CA"/>
        </w:rPr>
        <w:t xml:space="preserve"> </w:t>
      </w:r>
      <w:r w:rsidR="0037267E" w:rsidRPr="00EC5244">
        <w:rPr>
          <w:lang w:val="en-CA"/>
        </w:rPr>
        <w:t xml:space="preserve">being </w:t>
      </w:r>
      <w:r w:rsidRPr="00EC5244">
        <w:rPr>
          <w:lang w:val="en-CA"/>
        </w:rPr>
        <w:t>no longer dilute</w:t>
      </w:r>
      <w:r w:rsidR="0037267E" w:rsidRPr="00EC5244">
        <w:rPr>
          <w:lang w:val="en-CA"/>
        </w:rPr>
        <w:t xml:space="preserve">, </w:t>
      </w:r>
      <w:r w:rsidR="00B21683" w:rsidRPr="00EC5244">
        <w:rPr>
          <w:lang w:val="en-CA"/>
        </w:rPr>
        <w:t xml:space="preserve">now </w:t>
      </w:r>
      <w:r w:rsidR="0037267E" w:rsidRPr="00EC5244">
        <w:rPr>
          <w:lang w:val="en-CA"/>
        </w:rPr>
        <w:t>counts as a component</w:t>
      </w:r>
      <w:r w:rsidRPr="00EC5244">
        <w:rPr>
          <w:lang w:val="en-CA"/>
        </w:rPr>
        <w:t xml:space="preserve">. (Generalization to </w:t>
      </w:r>
      <m:oMath>
        <m:r>
          <w:rPr>
            <w:rFonts w:ascii="Cambria Math" w:hAnsi="Cambria Math"/>
            <w:lang w:val="en-CA"/>
          </w:rPr>
          <m:t>n</m:t>
        </m:r>
      </m:oMath>
      <w:r w:rsidRPr="00EC5244">
        <w:rPr>
          <w:lang w:val="en-CA"/>
        </w:rPr>
        <w:t xml:space="preserve">-component systems including non-dilute solutes is straightforward). </w:t>
      </w:r>
      <w:r w:rsidR="00FA2F3A" w:rsidRPr="00EC5244">
        <w:rPr>
          <w:lang w:val="en-CA"/>
        </w:rPr>
        <w:t>According to the Gibbs</w:t>
      </w:r>
      <w:r w:rsidR="00713B03" w:rsidRPr="00EC5244">
        <w:rPr>
          <w:lang w:val="en-CA"/>
        </w:rPr>
        <w:t xml:space="preserve"> phase rule, if</w:t>
      </w:r>
      <w:r w:rsidR="00253ACE" w:rsidRPr="00EC5244">
        <w:rPr>
          <w:lang w:val="en-CA"/>
        </w:rPr>
        <w:t xml:space="preserve"> there are three</w:t>
      </w:r>
      <w:r w:rsidR="00FA2F3A" w:rsidRPr="00EC5244">
        <w:rPr>
          <w:lang w:val="en-CA"/>
        </w:rPr>
        <w:t xml:space="preserve"> components (</w:t>
      </w:r>
      <m:oMath>
        <m:r>
          <w:rPr>
            <w:rFonts w:ascii="Cambria Math" w:hAnsi="Cambria Math"/>
            <w:lang w:val="en-CA"/>
          </w:rPr>
          <m:t>C=3</m:t>
        </m:r>
      </m:oMath>
      <w:r w:rsidR="00FA2F3A" w:rsidRPr="00EC5244">
        <w:rPr>
          <w:lang w:val="en-CA"/>
        </w:rPr>
        <w:t xml:space="preserve">) and the solution is in a single phase </w:t>
      </w:r>
      <m:oMath>
        <m:r>
          <w:rPr>
            <w:rFonts w:ascii="Cambria Math" w:hAnsi="Cambria Math"/>
            <w:lang w:val="en-CA"/>
          </w:rPr>
          <m:t>(P=1)</m:t>
        </m:r>
      </m:oMath>
      <w:r w:rsidR="00FA2F3A" w:rsidRPr="00EC5244">
        <w:rPr>
          <w:lang w:val="en-CA"/>
        </w:rPr>
        <w:t xml:space="preserve">, the degrees of freedom are </w:t>
      </w:r>
      <m:oMath>
        <m:r>
          <w:rPr>
            <w:rFonts w:ascii="Cambria Math" w:hAnsi="Cambria Math"/>
            <w:lang w:val="en-CA"/>
          </w:rPr>
          <m:t>F=3-1+2=4</m:t>
        </m:r>
      </m:oMath>
      <w:r w:rsidR="00FA2F3A" w:rsidRPr="00EC5244">
        <w:rPr>
          <w:lang w:val="en-CA"/>
        </w:rPr>
        <w:t>. Thus</w:t>
      </w:r>
      <w:r w:rsidR="006C558F" w:rsidRPr="00EC5244">
        <w:rPr>
          <w:lang w:val="en-CA"/>
        </w:rPr>
        <w:t>,</w:t>
      </w:r>
      <w:r w:rsidR="00FA2F3A" w:rsidRPr="00EC5244">
        <w:rPr>
          <w:lang w:val="en-CA"/>
        </w:rPr>
        <w:t xml:space="preserve"> </w:t>
      </w:r>
      <w:r w:rsidR="00253ACE" w:rsidRPr="00EC5244">
        <w:rPr>
          <w:lang w:val="en-CA"/>
        </w:rPr>
        <w:t xml:space="preserve">in addition to </w:t>
      </w:r>
      <m:oMath>
        <m:r>
          <w:rPr>
            <w:rFonts w:ascii="Cambria Math" w:hAnsi="Cambria Math"/>
            <w:lang w:val="en-CA"/>
          </w:rPr>
          <m:t>T</m:t>
        </m:r>
      </m:oMath>
      <w:r w:rsidR="00253ACE" w:rsidRPr="00EC5244">
        <w:rPr>
          <w:lang w:val="en-CA"/>
        </w:rPr>
        <w:t xml:space="preserve"> and</w:t>
      </w:r>
      <w:r w:rsidR="00FA2F3A" w:rsidRPr="00EC5244">
        <w:rPr>
          <w:lang w:val="en-CA"/>
        </w:rPr>
        <w:t xml:space="preserve"> </w:t>
      </w:r>
      <m:oMath>
        <m:r>
          <w:rPr>
            <w:rFonts w:ascii="Cambria Math" w:hAnsi="Cambria Math"/>
            <w:lang w:val="en-CA"/>
          </w:rPr>
          <m:t>P</m:t>
        </m:r>
      </m:oMath>
      <w:r w:rsidR="00253ACE" w:rsidRPr="00EC5244">
        <w:rPr>
          <w:lang w:val="en-CA"/>
        </w:rPr>
        <w:t xml:space="preserve">, two </w:t>
      </w:r>
      <w:r w:rsidR="00FA2F3A" w:rsidRPr="00EC5244">
        <w:rPr>
          <w:lang w:val="en-CA"/>
        </w:rPr>
        <w:t>composition</w:t>
      </w:r>
      <w:r w:rsidR="00253ACE" w:rsidRPr="00EC5244">
        <w:rPr>
          <w:lang w:val="en-CA"/>
        </w:rPr>
        <w:t xml:space="preserve"> ratios can be changed independently</w:t>
      </w:r>
      <w:r w:rsidR="00FA2F3A" w:rsidRPr="00EC5244">
        <w:rPr>
          <w:lang w:val="en-CA"/>
        </w:rPr>
        <w:t>.</w:t>
      </w:r>
      <w:r w:rsidR="00253ACE" w:rsidRPr="00EC5244">
        <w:rPr>
          <w:lang w:val="en-CA"/>
        </w:rPr>
        <w:t xml:space="preserve"> This means, under constant temperature, </w:t>
      </w:r>
      <w:r w:rsidR="006C558F" w:rsidRPr="00EC5244">
        <w:rPr>
          <w:lang w:val="en-CA"/>
        </w:rPr>
        <w:t xml:space="preserve">that </w:t>
      </w:r>
      <w:r w:rsidR="00253ACE" w:rsidRPr="00EC5244">
        <w:rPr>
          <w:lang w:val="en-CA"/>
        </w:rPr>
        <w:t>there are three variables that can be changed, guaranteeing the independent determination of solute-solute, solute-water and</w:t>
      </w:r>
      <w:r w:rsidR="006C558F" w:rsidRPr="00EC5244">
        <w:rPr>
          <w:lang w:val="en-CA"/>
        </w:rPr>
        <w:t xml:space="preserve"> solute-hydrotrope KB integrals. </w:t>
      </w:r>
    </w:p>
    <w:p w14:paraId="41EBC6DD" w14:textId="77777777" w:rsidR="006C558F" w:rsidRPr="00EC5244" w:rsidRDefault="006C558F" w:rsidP="00283FBB">
      <w:pPr>
        <w:pStyle w:val="TAMainText"/>
        <w:ind w:firstLine="0"/>
        <w:rPr>
          <w:lang w:val="en-CA"/>
        </w:rPr>
      </w:pPr>
    </w:p>
    <w:p w14:paraId="0B0F2411" w14:textId="668BC284" w:rsidR="00FA2F3A" w:rsidRPr="00EC5244" w:rsidRDefault="00253ACE" w:rsidP="008A37CB">
      <w:pPr>
        <w:pStyle w:val="TAMainText"/>
        <w:rPr>
          <w:lang w:val="en-CA"/>
        </w:rPr>
      </w:pPr>
      <w:r w:rsidRPr="00EC5244">
        <w:rPr>
          <w:lang w:val="en-CA"/>
        </w:rPr>
        <w:t xml:space="preserve"> </w:t>
      </w:r>
      <w:r w:rsidR="006C558F" w:rsidRPr="00EC5244">
        <w:rPr>
          <w:lang w:val="en-CA"/>
        </w:rPr>
        <w:t xml:space="preserve">In our previous papers, we have intentionally restricted our discussion to the case of dilute solutes, so as to </w:t>
      </w:r>
      <w:r w:rsidR="00DC2377" w:rsidRPr="00EC5244">
        <w:rPr>
          <w:lang w:val="en-CA"/>
        </w:rPr>
        <w:t>clarify the mechanism of hydrotropy.</w:t>
      </w:r>
      <w:r w:rsidR="00DD6CE3" w:rsidRPr="00EC5244">
        <w:rPr>
          <w:lang w:val="en-CA"/>
        </w:rPr>
        <w:fldChar w:fldCharType="begin" w:fldLock="1"/>
      </w:r>
      <w:r w:rsidR="004D1EB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"ITEM-5", "issue" : "36", "issued" : { "date-parts" : [ [ "2016" ] ] }, "page" : "25621-25628", "publisher" : "Royal Society of Chemistry", "title" : "The origin of cooperative solubilisation by hydrotropes", "type" : "article-journal", "volume" : "18" }, "uris" : [ "http://www.mendeley.com/documents/?uuid=dcc5121c-094a-4702-bc34-1086a5612e68" ] }, { "id" : "ITEM-6",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"ITEM-6",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"&lt;sup&gt;8\u201313&lt;/sup&gt;", "plainTextFormattedCitation" : "8\u201313", "previouslyFormattedCitation" : "&lt;sup&gt;8\u201313&lt;/sup&gt;" }, "properties" : { "noteIndex" : 0 }, "schema" : "https://github.com/citation-style-language/schema/raw/master/csl-citation.json" }</w:instrText>
      </w:r>
      <w:r w:rsidR="00DD6CE3" w:rsidRPr="00EC5244">
        <w:rPr>
          <w:lang w:val="en-CA"/>
        </w:rPr>
        <w:fldChar w:fldCharType="separate"/>
      </w:r>
      <w:r w:rsidR="004D1EB5" w:rsidRPr="00EC5244">
        <w:rPr>
          <w:noProof/>
          <w:vertAlign w:val="superscript"/>
          <w:lang w:val="en-CA"/>
        </w:rPr>
        <w:t>8–13</w:t>
      </w:r>
      <w:r w:rsidR="00DD6CE3" w:rsidRPr="00EC5244">
        <w:rPr>
          <w:lang w:val="en-CA"/>
        </w:rPr>
        <w:fldChar w:fldCharType="end"/>
      </w:r>
      <w:r w:rsidR="00DC2377" w:rsidRPr="00EC5244">
        <w:rPr>
          <w:lang w:val="en-CA"/>
        </w:rPr>
        <w:t xml:space="preserve"> However, we emphasise that the analysis of hydrotropy for concentrated solutes via the KB integrals can be performed using the inversion of the </w:t>
      </w:r>
      <w:r w:rsidR="00713B03" w:rsidRPr="00EC5244">
        <w:rPr>
          <w:lang w:val="en-CA"/>
        </w:rPr>
        <w:t xml:space="preserve">KB theory, applicable to </w:t>
      </w:r>
      <w:r w:rsidR="00DC2377" w:rsidRPr="00EC5244">
        <w:rPr>
          <w:lang w:val="en-CA"/>
        </w:rPr>
        <w:t xml:space="preserve">in general to </w:t>
      </w:r>
      <w:r w:rsidR="00DC2377" w:rsidRPr="00EC5244">
        <w:rPr>
          <w:i/>
          <w:lang w:val="en-CA"/>
        </w:rPr>
        <w:t>n</w:t>
      </w:r>
      <w:r w:rsidR="00DC2377" w:rsidRPr="00EC5244">
        <w:rPr>
          <w:lang w:val="en-CA"/>
        </w:rPr>
        <w:t>-component systems</w:t>
      </w:r>
      <w:r w:rsidR="00713B03" w:rsidRPr="00EC5244">
        <w:rPr>
          <w:lang w:val="en-CA"/>
        </w:rPr>
        <w:t>.</w:t>
      </w:r>
      <w:r w:rsidR="00DD6CE3" w:rsidRPr="00EC5244">
        <w:rPr>
          <w:lang w:val="en-CA"/>
        </w:rPr>
        <w:fldChar w:fldCharType="begin" w:fldLock="1"/>
      </w:r>
      <w:r w:rsidR="00BB4DD1" w:rsidRPr="00EC5244">
        <w:rPr>
          <w:lang w:val="en-CA"/>
        </w:rPr>
        <w:instrText>ADDIN CSL_CITATION { "citationItems" : [ { "id" : "ITEM-1", "itemData" : { "DOI" : "10.1063/1.434669", "ISSN" : "0021-9606", "abstract" : "A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water\u2013ethanol system is processed in this manner to obtain the quantities G\u03b1\u03b2 which are integrals over the pair correlation functions between two species \u03b1 and \u03b2.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 "author" : [ { "dropping-particle" : "", "family" : "Ben-Naim", "given" : "A.", "non-dropping-particle" : "", "parse-names" : false, "suffix" : "" } ], "container-title" : "The Journal of Chemical Physics", "id" : "ITEM-1", "issue" : "11", "issued" : { "date-parts" : [ [ "1977", "12" ] ] }, "page" : "4884-4890", "publisher" : "American Institute of PhysicsAIP", "title" : "Inversion of the Kirkwood\u2013Buff theory of solutions: Application to the water\u2013ethanol system", "type" : "article-journal", "volume" : "67" }, "uris" : [ "http://www.mendeley.com/documents/?uuid=81e02811-c8ed-3278-8ff2-693fe9432f12" ] } ], "mendeley" : { "formattedCitation" : "&lt;sup&gt;24&lt;/sup&gt;", "plainTextFormattedCitation" : "24", "previouslyFormattedCitation" : "&lt;sup&gt;24&lt;/sup&gt;" }, "properties" : { "noteIndex" : 0 }, "schema" : "https://github.com/citation-style-language/schema/raw/master/csl-citation.json" }</w:instrText>
      </w:r>
      <w:r w:rsidR="00DD6CE3" w:rsidRPr="00EC5244">
        <w:rPr>
          <w:lang w:val="en-CA"/>
        </w:rPr>
        <w:fldChar w:fldCharType="separate"/>
      </w:r>
      <w:r w:rsidR="00A07779" w:rsidRPr="00EC5244">
        <w:rPr>
          <w:noProof/>
          <w:vertAlign w:val="superscript"/>
          <w:lang w:val="en-CA"/>
        </w:rPr>
        <w:t>24</w:t>
      </w:r>
      <w:r w:rsidR="00DD6CE3" w:rsidRPr="00EC5244">
        <w:rPr>
          <w:lang w:val="en-CA"/>
        </w:rPr>
        <w:fldChar w:fldCharType="end"/>
      </w:r>
      <w:r w:rsidR="00713B03" w:rsidRPr="00EC5244">
        <w:rPr>
          <w:lang w:val="en-CA"/>
        </w:rPr>
        <w:t xml:space="preserve"> </w:t>
      </w:r>
      <w:r w:rsidR="00675CF7" w:rsidRPr="00EC5244">
        <w:rPr>
          <w:lang w:val="en-CA"/>
        </w:rPr>
        <w:t xml:space="preserve">The matrix </w:t>
      </w:r>
      <m:oMath>
        <m:r>
          <m:rPr>
            <m:sty m:val="bi"/>
          </m:rPr>
          <w:rPr>
            <w:rFonts w:ascii="Cambria Math" w:hAnsi="Cambria Math"/>
            <w:lang w:val="en-CA"/>
          </w:rPr>
          <m:t>B</m:t>
        </m:r>
      </m:oMath>
      <w:r w:rsidR="00675CF7" w:rsidRPr="00EC5244">
        <w:rPr>
          <w:lang w:val="en-CA"/>
        </w:rPr>
        <w:t xml:space="preserve">, whose elements are defined in terms of the KB integrals as </w:t>
      </w:r>
    </w:p>
    <w:p w14:paraId="7182A1FF" w14:textId="693B1D83" w:rsidR="00675CF7" w:rsidRPr="00EC5244" w:rsidRDefault="000C7FF6" w:rsidP="00283FBB">
      <w:pPr>
        <w:pStyle w:val="TAMainText"/>
        <w:ind w:firstLine="0"/>
        <w:rPr>
          <w:lang w:val="en-CA"/>
        </w:rPr>
      </w:pP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ij</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i</m:t>
            </m:r>
          </m:sub>
        </m:sSub>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j</m:t>
            </m:r>
          </m:sub>
        </m:sSub>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ij</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i</m:t>
            </m:r>
          </m:sub>
        </m:sSub>
        <m:sSub>
          <m:sSubPr>
            <m:ctrlPr>
              <w:rPr>
                <w:rFonts w:ascii="Cambria Math" w:hAnsi="Cambria Math"/>
                <w:i/>
                <w:lang w:val="en-CA"/>
              </w:rPr>
            </m:ctrlPr>
          </m:sSubPr>
          <m:e>
            <m:r>
              <w:rPr>
                <w:rFonts w:ascii="Cambria Math" w:hAnsi="Cambria Math"/>
                <w:lang w:val="en-CA"/>
              </w:rPr>
              <m:t>δ</m:t>
            </m:r>
          </m:e>
          <m:sub>
            <m:r>
              <w:rPr>
                <w:rFonts w:ascii="Cambria Math" w:hAnsi="Cambria Math"/>
                <w:lang w:val="en-CA"/>
              </w:rPr>
              <m:t>ij</m:t>
            </m:r>
          </m:sub>
        </m:sSub>
      </m:oMath>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t xml:space="preserve">(11) </w:t>
      </w:r>
    </w:p>
    <w:p w14:paraId="1BE81DD5" w14:textId="0F334FC3" w:rsidR="00675CF7" w:rsidRPr="00EC5244" w:rsidRDefault="00675CF7" w:rsidP="00283FBB">
      <w:pPr>
        <w:pStyle w:val="TAMainText"/>
        <w:ind w:firstLine="0"/>
        <w:rPr>
          <w:lang w:val="en-CA"/>
        </w:rPr>
      </w:pPr>
      <w:r w:rsidRPr="00EC5244">
        <w:rPr>
          <w:lang w:val="en-CA"/>
        </w:rPr>
        <w:t xml:space="preserve">can be determined from the following matrix inversion </w:t>
      </w:r>
    </w:p>
    <w:p w14:paraId="3E87A011" w14:textId="354284C3" w:rsidR="00675CF7" w:rsidRPr="00EC5244" w:rsidRDefault="00675CF7" w:rsidP="00283FBB">
      <w:pPr>
        <w:pStyle w:val="TAMainText"/>
        <w:ind w:firstLine="0"/>
        <w:rPr>
          <w:lang w:val="en-CA"/>
        </w:rPr>
      </w:pPr>
      <m:oMath>
        <m:r>
          <m:rPr>
            <m:sty m:val="bi"/>
          </m:rPr>
          <w:rPr>
            <w:rFonts w:ascii="Cambria Math" w:hAnsi="Cambria Math"/>
            <w:lang w:val="en-CA"/>
          </w:rPr>
          <m:t>B</m:t>
        </m:r>
        <m:r>
          <w:rPr>
            <w:rFonts w:ascii="Cambria Math" w:hAnsi="Cambria Math"/>
            <w:lang w:val="en-CA"/>
          </w:rPr>
          <m:t>=</m:t>
        </m:r>
        <m:sSup>
          <m:sSupPr>
            <m:ctrlPr>
              <w:rPr>
                <w:rFonts w:ascii="Cambria Math" w:hAnsi="Cambria Math"/>
                <w:b/>
                <w:i/>
                <w:lang w:val="en-CA"/>
              </w:rPr>
            </m:ctrlPr>
          </m:sSupPr>
          <m:e>
            <m:r>
              <m:rPr>
                <m:sty m:val="bi"/>
              </m:rPr>
              <w:rPr>
                <w:rFonts w:ascii="Cambria Math" w:hAnsi="Cambria Math"/>
                <w:lang w:val="en-CA"/>
              </w:rPr>
              <m:t>A</m:t>
            </m:r>
          </m:e>
          <m:sup>
            <m:r>
              <m:rPr>
                <m:sty m:val="bi"/>
              </m:rPr>
              <w:rPr>
                <w:rFonts w:ascii="Cambria Math" w:hAnsi="Cambria Math"/>
                <w:lang w:val="en-CA"/>
              </w:rPr>
              <m:t>-1</m:t>
            </m:r>
          </m:sup>
        </m:sSup>
      </m:oMath>
      <w:r w:rsidRPr="00EC5244">
        <w:rPr>
          <w:b/>
          <w:lang w:val="en-CA"/>
        </w:rPr>
        <w:tab/>
      </w:r>
      <w:r w:rsidRPr="00EC5244">
        <w:rPr>
          <w:b/>
          <w:lang w:val="en-CA"/>
        </w:rPr>
        <w:tab/>
      </w:r>
      <w:r w:rsidRPr="00EC5244">
        <w:rPr>
          <w:b/>
          <w:lang w:val="en-CA"/>
        </w:rPr>
        <w:tab/>
      </w:r>
      <w:r w:rsidRPr="00EC5244">
        <w:rPr>
          <w:b/>
          <w:lang w:val="en-CA"/>
        </w:rPr>
        <w:tab/>
      </w:r>
      <w:r w:rsidRPr="00EC5244">
        <w:rPr>
          <w:b/>
          <w:lang w:val="en-CA"/>
        </w:rPr>
        <w:tab/>
      </w:r>
      <w:r w:rsidRPr="00EC5244">
        <w:rPr>
          <w:b/>
          <w:lang w:val="en-CA"/>
        </w:rPr>
        <w:tab/>
      </w:r>
      <w:r w:rsidRPr="00EC5244">
        <w:rPr>
          <w:b/>
          <w:lang w:val="en-CA"/>
        </w:rPr>
        <w:tab/>
      </w:r>
      <w:r w:rsidRPr="00EC5244">
        <w:rPr>
          <w:b/>
          <w:lang w:val="en-CA"/>
        </w:rPr>
        <w:tab/>
      </w:r>
      <w:r w:rsidRPr="00EC5244">
        <w:rPr>
          <w:b/>
          <w:lang w:val="en-CA"/>
        </w:rPr>
        <w:tab/>
      </w:r>
      <w:r w:rsidRPr="00EC5244">
        <w:rPr>
          <w:b/>
          <w:lang w:val="en-CA"/>
        </w:rPr>
        <w:tab/>
      </w:r>
      <w:r w:rsidRPr="00EC5244">
        <w:rPr>
          <w:b/>
          <w:lang w:val="en-CA"/>
        </w:rPr>
        <w:tab/>
      </w:r>
      <w:r w:rsidRPr="00EC5244">
        <w:rPr>
          <w:lang w:val="en-CA"/>
        </w:rPr>
        <w:t>(12)</w:t>
      </w:r>
    </w:p>
    <w:p w14:paraId="53EBFE96" w14:textId="00A5AEF3" w:rsidR="00675CF7" w:rsidRPr="00EC5244" w:rsidRDefault="00675CF7" w:rsidP="00283FBB">
      <w:pPr>
        <w:pStyle w:val="TAMainText"/>
        <w:ind w:firstLine="0"/>
        <w:rPr>
          <w:lang w:val="en-CA"/>
        </w:rPr>
      </w:pPr>
      <w:r w:rsidRPr="00EC5244">
        <w:rPr>
          <w:lang w:val="en-CA"/>
        </w:rPr>
        <w:t xml:space="preserve">in which the elements of </w:t>
      </w:r>
      <m:oMath>
        <m:r>
          <m:rPr>
            <m:sty m:val="bi"/>
          </m:rPr>
          <w:rPr>
            <w:rFonts w:ascii="Cambria Math" w:hAnsi="Cambria Math"/>
            <w:lang w:val="en-CA"/>
          </w:rPr>
          <m:t>A</m:t>
        </m:r>
      </m:oMath>
      <w:r w:rsidRPr="00EC5244">
        <w:rPr>
          <w:lang w:val="en-CA"/>
        </w:rPr>
        <w:t xml:space="preserve"> defined as </w:t>
      </w:r>
    </w:p>
    <w:p w14:paraId="116194DA" w14:textId="77777777" w:rsidR="00675CF7" w:rsidRPr="00EC5244" w:rsidRDefault="000C7FF6" w:rsidP="00675CF7">
      <w:pPr>
        <w:pStyle w:val="TAMainText"/>
        <w:ind w:firstLine="0"/>
        <w:rPr>
          <w:lang w:val="en-CA"/>
        </w:rPr>
      </w:pPr>
      <m:oMath>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ij</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RT</m:t>
            </m:r>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i</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j</m:t>
                        </m:r>
                      </m:sub>
                    </m:sSub>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c</m:t>
                </m:r>
              </m:e>
              <m:sub>
                <m:sSup>
                  <m:sSupPr>
                    <m:ctrlPr>
                      <w:rPr>
                        <w:rFonts w:ascii="Cambria Math" w:hAnsi="Cambria Math"/>
                        <w:i/>
                        <w:lang w:val="en-CA"/>
                      </w:rPr>
                    </m:ctrlPr>
                  </m:sSupPr>
                  <m:e>
                    <m:r>
                      <w:rPr>
                        <w:rFonts w:ascii="Cambria Math" w:hAnsi="Cambria Math"/>
                        <w:lang w:val="en-CA"/>
                      </w:rPr>
                      <m:t>j</m:t>
                    </m:r>
                  </m:e>
                  <m:sup>
                    <m:r>
                      <w:rPr>
                        <w:rFonts w:ascii="Cambria Math" w:hAnsi="Cambria Math"/>
                        <w:lang w:val="en-CA"/>
                      </w:rPr>
                      <m:t>'</m:t>
                    </m:r>
                  </m:sup>
                </m:sSup>
                <m:r>
                  <w:rPr>
                    <w:rFonts w:ascii="Cambria Math" w:hAnsi="Cambria Math"/>
                    <w:lang w:val="en-CA"/>
                  </w:rPr>
                  <m:t>≠j</m:t>
                </m:r>
              </m:sub>
            </m:sSub>
          </m:sub>
        </m:sSub>
      </m:oMath>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r>
      <w:r w:rsidR="00675CF7" w:rsidRPr="00EC5244">
        <w:rPr>
          <w:lang w:val="en-CA"/>
        </w:rPr>
        <w:tab/>
        <w:t>(13)</w:t>
      </w:r>
    </w:p>
    <w:p w14:paraId="5A692329" w14:textId="029D6D8B" w:rsidR="00CE78AA" w:rsidRPr="00EC5244" w:rsidRDefault="00675CF7" w:rsidP="00CE78AA">
      <w:pPr>
        <w:pStyle w:val="TAMainText"/>
        <w:ind w:firstLine="0"/>
        <w:rPr>
          <w:lang w:val="en-CA"/>
        </w:rPr>
      </w:pPr>
      <w:r w:rsidRPr="00EC5244">
        <w:rPr>
          <w:lang w:val="en-CA"/>
        </w:rPr>
        <w:t>can be accessible from thermodynamic measurements.</w:t>
      </w:r>
      <w:r w:rsidR="00DD6CE3" w:rsidRPr="00EC5244">
        <w:rPr>
          <w:lang w:val="en-CA"/>
        </w:rPr>
        <w:fldChar w:fldCharType="begin" w:fldLock="1"/>
      </w:r>
      <w:r w:rsidR="00BB4DD1" w:rsidRPr="00EC5244">
        <w:rPr>
          <w:lang w:val="en-CA"/>
        </w:rPr>
        <w:instrText>ADDIN CSL_CITATION { "citationItems" : [ { "id" : "ITEM-1", "itemData" : { "DOI" : "10.1063/1.434669", "ISSN" : "0021-9606", "abstract" : "A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water\u2013ethanol system is processed in this manner to obtain the quantities G\u03b1\u03b2 which are integrals over the pair correlation functions between two species \u03b1 and \u03b2.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 "author" : [ { "dropping-particle" : "", "family" : "Ben-Naim", "given" : "A.", "non-dropping-particle" : "", "parse-names" : false, "suffix" : "" } ], "container-title" : "The Journal of Chemical Physics", "id" : "ITEM-1", "issue" : "11", "issued" : { "date-parts" : [ [ "1977", "12" ] ] }, "page" : "4884-4890", "publisher" : "American Institute of PhysicsAIP", "title" : "Inversion of the Kirkwood\u2013Buff theory of solutions: Application to the water\u2013ethanol system", "type" : "article-journal", "volume" : "67" }, "uris" : [ "http://www.mendeley.com/documents/?uuid=81e02811-c8ed-3278-8ff2-693fe9432f12" ] } ], "mendeley" : { "formattedCitation" : "&lt;sup&gt;24&lt;/sup&gt;", "plainTextFormattedCitation" : "24", "previouslyFormattedCitation" : "&lt;sup&gt;24&lt;/sup&gt;" }, "properties" : { "noteIndex" : 0 }, "schema" : "https://github.com/citation-style-language/schema/raw/master/csl-citation.json" }</w:instrText>
      </w:r>
      <w:r w:rsidR="00DD6CE3" w:rsidRPr="00EC5244">
        <w:rPr>
          <w:lang w:val="en-CA"/>
        </w:rPr>
        <w:fldChar w:fldCharType="separate"/>
      </w:r>
      <w:r w:rsidR="00A07779" w:rsidRPr="00EC5244">
        <w:rPr>
          <w:noProof/>
          <w:vertAlign w:val="superscript"/>
          <w:lang w:val="en-CA"/>
        </w:rPr>
        <w:t>24</w:t>
      </w:r>
      <w:r w:rsidR="00DD6CE3" w:rsidRPr="00EC5244">
        <w:rPr>
          <w:lang w:val="en-CA"/>
        </w:rPr>
        <w:fldChar w:fldCharType="end"/>
      </w:r>
      <w:r w:rsidRPr="00EC5244">
        <w:rPr>
          <w:lang w:val="en-CA"/>
        </w:rPr>
        <w:t xml:space="preserve"> </w:t>
      </w:r>
    </w:p>
    <w:p w14:paraId="4C0AE073" w14:textId="77777777" w:rsidR="00CE78AA" w:rsidRPr="00EC5244" w:rsidRDefault="00CE78AA" w:rsidP="00CE78AA">
      <w:pPr>
        <w:pStyle w:val="TAMainText"/>
        <w:ind w:firstLine="0"/>
        <w:rPr>
          <w:lang w:val="en-CA"/>
        </w:rPr>
      </w:pPr>
    </w:p>
    <w:p w14:paraId="4F5B9D6B" w14:textId="43DCB34B" w:rsidR="00CE78AA" w:rsidRPr="00EC5244" w:rsidRDefault="00CE78AA" w:rsidP="00CE78AA">
      <w:pPr>
        <w:pStyle w:val="TAMainText"/>
        <w:ind w:firstLine="0"/>
        <w:rPr>
          <w:lang w:val="en-CA"/>
        </w:rPr>
      </w:pPr>
      <w:r w:rsidRPr="00EC5244">
        <w:rPr>
          <w:lang w:val="en-CA"/>
        </w:rPr>
        <w:t>This matrix inversion approach (Eqs. (11)-(13)) can be used to generalize our earlier hydrotropy theory, derived for dilute solutes, into solutes with arbitrary concentrations. To do so, let us use the following well-known results:</w:t>
      </w:r>
      <w:r w:rsidRPr="00EC5244">
        <w:rPr>
          <w:lang w:val="en-CA"/>
        </w:rPr>
        <w:fldChar w:fldCharType="begin" w:fldLock="1"/>
      </w:r>
      <w:r w:rsidR="00BB4DD1" w:rsidRPr="00EC5244">
        <w:rPr>
          <w:lang w:val="en-CA"/>
        </w:rPr>
        <w:instrText>ADDIN CSL_CITATION { "citationItems" : [ { "id" : "ITEM-1", "itemData" : { "author" : [ { "dropping-particle" : "", "family" : "Ben-Naim", "given" : "Arieh", "non-dropping-particle" : "", "parse-names" : false, "suffix" : "" } ], "id" : "ITEM-1", "issued" : { "date-parts" : [ [ "2006" ] ] }, "publisher" : "Oxford University Press", "publisher-place" : "Oxford", "title" : "Molecular Theory of Solutions", "type" : "book" }, "uris" : [ "http://www.mendeley.com/documents/?uuid=c69c8ec7-b100-38af-a990-6baa3f6c9810" ] }, { "id" : "ITEM-2", "itemData" : { "abstract" : "A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 "author" : [ { "dropping-particle" : "", "family" : "Smith", "given" : "Paul E.", "non-dropping-particle" : "", "parse-names" : false, "suffix" : "" } ], "container-title" : "Journal of Chemical Physics", "id" : "ITEM-2", "issue" : "12", "issued" : { "date-parts" : [ [ "2008" ] ] }, "page" : "124509", "title" : "On the Kirkwood-Buff inversion procedure", "type" : "article-journal", "volume" : "129" }, "uris" : [ "http://www.mendeley.com/documents/?uuid=7c36a8c1-0c6c-4bc9-a2ee-64b56b48bd12" ] }, { "id" : "ITEM-3", "itemData" : { "author" : [ { "dropping-particle" : "", "family" : "Gazzillo", "given" : "Domeniko", "non-dropping-particle" : "", "parse-names" : false, "suffix" : "" } ], "container-title" : "Molecular Physics", "id" : "ITEM-3",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"&lt;sup&gt;50\u201352&lt;/sup&gt;", "plainTextFormattedCitation" : "50\u201352", "previouslyFormattedCitation" : "&lt;sup&gt;50\u201352&lt;/sup&gt;" }, "properties" : { "noteIndex" : 0 }, "schema" : "https://github.com/citation-style-language/schema/raw/master/csl-citation.json" }</w:instrText>
      </w:r>
      <w:r w:rsidRPr="00EC5244">
        <w:rPr>
          <w:lang w:val="en-CA"/>
        </w:rPr>
        <w:fldChar w:fldCharType="separate"/>
      </w:r>
      <w:r w:rsidR="001335E9" w:rsidRPr="00EC5244">
        <w:rPr>
          <w:noProof/>
          <w:vertAlign w:val="superscript"/>
          <w:lang w:val="en-CA"/>
        </w:rPr>
        <w:t>50–52</w:t>
      </w:r>
      <w:r w:rsidRPr="00EC5244">
        <w:rPr>
          <w:lang w:val="en-CA"/>
        </w:rPr>
        <w:fldChar w:fldCharType="end"/>
      </w:r>
      <w:r w:rsidRPr="00EC5244">
        <w:rPr>
          <w:lang w:val="en-CA"/>
        </w:rPr>
        <w:t xml:space="preserve">   </w:t>
      </w:r>
    </w:p>
    <w:p w14:paraId="08B2FDB2" w14:textId="065C1482" w:rsidR="00CE78AA" w:rsidRPr="00EC5244" w:rsidRDefault="000C7FF6" w:rsidP="00CE78AA">
      <w:pPr>
        <w:pStyle w:val="TAMainText"/>
        <w:rPr>
          <w:lang w:val="en-CA"/>
        </w:rPr>
      </w:pPr>
      <m:oMath>
        <m:f>
          <m:fPr>
            <m:ctrlPr>
              <w:rPr>
                <w:rFonts w:ascii="Cambria Math" w:hAnsi="Cambria Math"/>
                <w:i/>
                <w:lang w:val="en-CA"/>
              </w:rPr>
            </m:ctrlPr>
          </m:fPr>
          <m:num>
            <m:r>
              <w:rPr>
                <w:rFonts w:ascii="Cambria Math" w:hAnsi="Cambria Math"/>
                <w:lang w:val="en-CA"/>
              </w:rPr>
              <m:t>1</m:t>
            </m:r>
          </m:num>
          <m:den>
            <m:r>
              <w:rPr>
                <w:rFonts w:ascii="Cambria Math" w:hAnsi="Cambria Math"/>
                <w:lang w:val="en-CA"/>
              </w:rPr>
              <m:t>RT</m:t>
            </m:r>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j≠2</m:t>
                </m:r>
              </m:sub>
            </m:sSub>
          </m:sub>
        </m:sSub>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u2</m:t>
                </m:r>
              </m:sup>
            </m:sSup>
          </m:num>
          <m:den>
            <m:d>
              <m:dPr>
                <m:begChr m:val="|"/>
                <m:endChr m:val="|"/>
                <m:ctrlPr>
                  <w:rPr>
                    <w:rFonts w:ascii="Cambria Math" w:hAnsi="Cambria Math"/>
                    <w:i/>
                    <w:lang w:val="en-CA"/>
                  </w:rPr>
                </m:ctrlPr>
              </m:dPr>
              <m:e>
                <m:r>
                  <w:rPr>
                    <w:rFonts w:ascii="Cambria Math" w:hAnsi="Cambria Math"/>
                    <w:lang w:val="en-CA"/>
                  </w:rPr>
                  <m:t>B</m:t>
                </m:r>
              </m:e>
            </m:d>
          </m:den>
        </m:f>
      </m:oMath>
      <w:r w:rsidR="00CE78AA" w:rsidRPr="00EC5244">
        <w:rPr>
          <w:lang w:val="en-CA"/>
        </w:rPr>
        <w:tab/>
      </w:r>
      <w:r w:rsidR="00CE78AA" w:rsidRPr="00EC5244">
        <w:rPr>
          <w:lang w:val="en-CA"/>
        </w:rPr>
        <w:tab/>
      </w:r>
      <w:r w:rsidR="00CE78AA" w:rsidRPr="00EC5244">
        <w:rPr>
          <w:lang w:val="en-CA"/>
        </w:rPr>
        <w:tab/>
      </w:r>
      <w:r w:rsidR="00CE78AA" w:rsidRPr="00EC5244">
        <w:rPr>
          <w:lang w:val="en-CA"/>
        </w:rPr>
        <w:tab/>
      </w:r>
      <w:r w:rsidR="008F2DF2" w:rsidRPr="00EC5244">
        <w:rPr>
          <w:lang w:val="en-CA"/>
        </w:rPr>
        <w:tab/>
      </w:r>
      <w:r w:rsidR="00CE78AA" w:rsidRPr="00EC5244">
        <w:rPr>
          <w:lang w:val="en-CA"/>
        </w:rPr>
        <w:tab/>
      </w:r>
      <w:r w:rsidR="00CE78AA" w:rsidRPr="00EC5244">
        <w:rPr>
          <w:lang w:val="en-CA"/>
        </w:rPr>
        <w:tab/>
      </w:r>
      <w:r w:rsidR="00CE78AA" w:rsidRPr="00EC5244">
        <w:rPr>
          <w:lang w:val="en-CA"/>
        </w:rPr>
        <w:tab/>
      </w:r>
      <w:r w:rsidR="00CE78AA" w:rsidRPr="00EC5244">
        <w:rPr>
          <w:lang w:val="en-CA"/>
        </w:rPr>
        <w:tab/>
      </w:r>
      <w:r w:rsidR="00CE78AA" w:rsidRPr="00EC5244">
        <w:rPr>
          <w:lang w:val="en-CA"/>
        </w:rPr>
        <w:tab/>
        <w:t>(14)</w:t>
      </w:r>
    </w:p>
    <w:p w14:paraId="55BB57C0" w14:textId="77777777" w:rsidR="00CE78AA" w:rsidRPr="00EC5244" w:rsidRDefault="00CE78AA" w:rsidP="00CE78AA">
      <w:pPr>
        <w:pStyle w:val="TAMainText"/>
        <w:ind w:firstLine="0"/>
        <w:rPr>
          <w:lang w:val="en-CA"/>
        </w:rPr>
      </w:pPr>
      <w:r w:rsidRPr="00EC5244">
        <w:rPr>
          <w:lang w:val="en-CA"/>
        </w:rPr>
        <w:t xml:space="preserve">where the cofactor </w:t>
      </w:r>
      <m:oMath>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u2</m:t>
            </m:r>
          </m:sup>
        </m:sSup>
      </m:oMath>
      <w:r w:rsidRPr="00EC5244">
        <w:rPr>
          <w:lang w:val="en-CA"/>
        </w:rPr>
        <w:t xml:space="preserve"> is defined, and rewritten via KB integrals via Eq. (11), as </w:t>
      </w:r>
    </w:p>
    <w:p w14:paraId="0F224289" w14:textId="77777777" w:rsidR="00CE78AA" w:rsidRPr="00EC5244" w:rsidRDefault="000C7FF6" w:rsidP="00CE78AA">
      <w:pPr>
        <w:pStyle w:val="TAMainText"/>
        <w:ind w:firstLine="0"/>
        <w:rPr>
          <w:lang w:val="en-CA"/>
        </w:rPr>
      </w:pPr>
      <m:oMath>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u2</m:t>
            </m:r>
          </m:sup>
        </m:sSup>
        <m:r>
          <w:rPr>
            <w:rFonts w:ascii="Cambria Math" w:hAnsi="Cambria Math"/>
            <w:lang w:val="en-CA"/>
          </w:rPr>
          <m:t>=-</m:t>
        </m:r>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e>
        </m:d>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1</m:t>
            </m:r>
          </m:sub>
          <m:sup>
            <m:r>
              <w:rPr>
                <w:rFonts w:ascii="Cambria Math" w:hAnsi="Cambria Math"/>
                <w:lang w:val="en-CA"/>
              </w:rPr>
              <m:t>2</m:t>
            </m:r>
          </m:sup>
        </m:sSubSup>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d>
          <m:dPr>
            <m:begChr m:val="["/>
            <m:endChr m:val="]"/>
            <m:ctrlPr>
              <w:rPr>
                <w:rFonts w:ascii="Cambria Math" w:hAnsi="Cambria Math"/>
                <w:i/>
                <w:lang w:val="en-CA"/>
              </w:rPr>
            </m:ctrlPr>
          </m:dPr>
          <m:e>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11</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1</m:t>
                        </m:r>
                      </m:sub>
                    </m:sSub>
                  </m:den>
                </m:f>
              </m:e>
            </m:d>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21</m:t>
                </m:r>
              </m:sub>
            </m:sSub>
          </m:e>
        </m:d>
      </m:oMath>
      <w:r w:rsidR="00CE78AA" w:rsidRPr="00EC5244">
        <w:rPr>
          <w:lang w:val="en-CA"/>
        </w:rPr>
        <w:tab/>
      </w:r>
      <w:r w:rsidR="00CE78AA" w:rsidRPr="00EC5244">
        <w:rPr>
          <w:lang w:val="en-CA"/>
        </w:rPr>
        <w:tab/>
      </w:r>
      <w:r w:rsidR="00CE78AA" w:rsidRPr="00EC5244">
        <w:rPr>
          <w:lang w:val="en-CA"/>
        </w:rPr>
        <w:tab/>
        <w:t>(15)</w:t>
      </w:r>
    </w:p>
    <w:p w14:paraId="305F36D2" w14:textId="70AD778D" w:rsidR="00CE78AA" w:rsidRPr="00EC5244" w:rsidRDefault="00CE78AA" w:rsidP="00CE78AA">
      <w:pPr>
        <w:pStyle w:val="TAMainText"/>
        <w:ind w:firstLine="0"/>
        <w:rPr>
          <w:lang w:val="en-CA"/>
        </w:rPr>
      </w:pPr>
      <w:r w:rsidRPr="00EC5244">
        <w:rPr>
          <w:lang w:val="en-CA"/>
        </w:rPr>
        <w:t xml:space="preserve">and the determinant </w:t>
      </w:r>
      <m:oMath>
        <m:d>
          <m:dPr>
            <m:begChr m:val="|"/>
            <m:endChr m:val="|"/>
            <m:ctrlPr>
              <w:rPr>
                <w:rFonts w:ascii="Cambria Math" w:hAnsi="Cambria Math"/>
                <w:i/>
                <w:lang w:val="en-CA"/>
              </w:rPr>
            </m:ctrlPr>
          </m:dPr>
          <m:e>
            <m:r>
              <w:rPr>
                <w:rFonts w:ascii="Cambria Math" w:hAnsi="Cambria Math"/>
                <w:lang w:val="en-CA"/>
              </w:rPr>
              <m:t>B</m:t>
            </m:r>
          </m:e>
        </m:d>
      </m:oMath>
      <w:r w:rsidRPr="00EC5244">
        <w:rPr>
          <w:lang w:val="en-CA"/>
        </w:rPr>
        <w:t>, which is positive due to the stability condition,</w:t>
      </w:r>
      <w:r w:rsidR="001335E9" w:rsidRPr="00EC5244">
        <w:rPr>
          <w:lang w:val="en-CA"/>
        </w:rPr>
        <w:fldChar w:fldCharType="begin" w:fldLock="1"/>
      </w:r>
      <w:r w:rsidR="00B77F33" w:rsidRPr="00EC5244">
        <w:rPr>
          <w:lang w:val="en-CA"/>
        </w:rPr>
        <w:instrText>ADDIN CSL_CITATION { "citationItems" : [ { "id" : "ITEM-1", "itemData" : { "author" : [ { "dropping-particle" : "", "family" : "Gazzillo", "given" : "Domeniko", "non-dropping-particle" : "", "parse-names" : false, "suffix" : "" } ], "container-title" : "Molecular Physics", "id" : "ITEM-1",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"&lt;sup&gt;52&lt;/sup&gt;", "plainTextFormattedCitation" : "52", "previouslyFormattedCitation" : "&lt;sup&gt;52&lt;/sup&gt;" }, "properties" : { "noteIndex" : 0 }, "schema" : "https://github.com/citation-style-language/schema/raw/master/csl-citation.json" }</w:instrText>
      </w:r>
      <w:r w:rsidR="001335E9" w:rsidRPr="00EC5244">
        <w:rPr>
          <w:lang w:val="en-CA"/>
        </w:rPr>
        <w:fldChar w:fldCharType="separate"/>
      </w:r>
      <w:r w:rsidR="001335E9" w:rsidRPr="00EC5244">
        <w:rPr>
          <w:noProof/>
          <w:vertAlign w:val="superscript"/>
          <w:lang w:val="en-CA"/>
        </w:rPr>
        <w:t>52</w:t>
      </w:r>
      <w:r w:rsidR="001335E9" w:rsidRPr="00EC5244">
        <w:rPr>
          <w:lang w:val="en-CA"/>
        </w:rPr>
        <w:fldChar w:fldCharType="end"/>
      </w:r>
      <w:r w:rsidRPr="00EC5244">
        <w:rPr>
          <w:lang w:val="en-CA"/>
        </w:rPr>
        <w:t xml:space="preserve"> can be expressed as   </w:t>
      </w:r>
    </w:p>
    <w:p w14:paraId="4FC6E0D8" w14:textId="77777777" w:rsidR="00CE78AA" w:rsidRPr="00EC5244" w:rsidRDefault="000C7FF6" w:rsidP="00CE78AA">
      <w:pPr>
        <w:pStyle w:val="TAMainText"/>
        <w:ind w:firstLine="0"/>
        <w:rPr>
          <w:lang w:val="en-CA"/>
        </w:rPr>
      </w:pPr>
      <m:oMath>
        <m:d>
          <m:dPr>
            <m:begChr m:val="|"/>
            <m:endChr m:val="|"/>
            <m:ctrlPr>
              <w:rPr>
                <w:rFonts w:ascii="Cambria Math" w:hAnsi="Cambria Math"/>
                <w:i/>
                <w:lang w:val="en-CA"/>
              </w:rPr>
            </m:ctrlPr>
          </m:dPr>
          <m:e>
            <m:r>
              <w:rPr>
                <w:rFonts w:ascii="Cambria Math" w:hAnsi="Cambria Math"/>
                <w:lang w:val="en-CA"/>
              </w:rPr>
              <m:t>B</m:t>
            </m:r>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21</m:t>
            </m:r>
          </m:sub>
        </m:sSub>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uu</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u2</m:t>
                </m:r>
              </m:sub>
            </m:sSub>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22</m:t>
            </m:r>
          </m:sub>
        </m:sSub>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uu</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B</m:t>
                </m:r>
              </m:e>
              <m:sub>
                <m:r>
                  <w:rPr>
                    <w:rFonts w:ascii="Cambria Math" w:hAnsi="Cambria Math"/>
                    <w:lang w:val="en-CA"/>
                  </w:rPr>
                  <m:t>u1</m:t>
                </m:r>
              </m:sub>
              <m:sup>
                <m:r>
                  <w:rPr>
                    <w:rFonts w:ascii="Cambria Math" w:hAnsi="Cambria Math"/>
                    <w:lang w:val="en-CA"/>
                  </w:rPr>
                  <m:t>2</m:t>
                </m:r>
              </m:sup>
            </m:sSubSup>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2u</m:t>
            </m:r>
          </m:sub>
        </m:sSub>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e>
        </m:d>
      </m:oMath>
      <w:r w:rsidR="00CE78AA" w:rsidRPr="00EC5244">
        <w:rPr>
          <w:lang w:val="en-CA"/>
        </w:rPr>
        <w:tab/>
      </w:r>
      <w:r w:rsidR="00CE78AA" w:rsidRPr="00EC5244">
        <w:rPr>
          <w:lang w:val="en-CA"/>
        </w:rPr>
        <w:tab/>
        <w:t>(16)</w:t>
      </w:r>
    </w:p>
    <w:p w14:paraId="1BAC8E0C" w14:textId="77777777" w:rsidR="00CE78AA" w:rsidRPr="00EC5244" w:rsidRDefault="00CE78AA" w:rsidP="00CE78AA">
      <w:pPr>
        <w:pStyle w:val="TAMainText"/>
        <w:ind w:firstLine="0"/>
        <w:rPr>
          <w:lang w:val="en-CA"/>
        </w:rPr>
      </w:pPr>
      <w:r w:rsidRPr="00EC5244">
        <w:rPr>
          <w:lang w:val="en-CA"/>
        </w:rPr>
        <w:t xml:space="preserve">Note that </w:t>
      </w:r>
      <m:oMath>
        <m:d>
          <m:dPr>
            <m:begChr m:val="|"/>
            <m:endChr m:val="|"/>
            <m:ctrlPr>
              <w:rPr>
                <w:rFonts w:ascii="Cambria Math" w:hAnsi="Cambria Math"/>
                <w:i/>
                <w:lang w:val="en-CA"/>
              </w:rPr>
            </m:ctrlPr>
          </m:dPr>
          <m:e>
            <m:r>
              <w:rPr>
                <w:rFonts w:ascii="Cambria Math" w:hAnsi="Cambria Math"/>
                <w:lang w:val="en-CA"/>
              </w:rPr>
              <m:t>B</m:t>
            </m:r>
          </m:e>
        </m:d>
      </m:oMath>
      <w:r w:rsidRPr="00EC5244">
        <w:rPr>
          <w:lang w:val="en-CA"/>
        </w:rPr>
        <w:t xml:space="preserve"> is the generalization of the solubilization inefficiency concept into the case of concentrated solutes. </w:t>
      </w:r>
    </w:p>
    <w:p w14:paraId="45D21217" w14:textId="77777777" w:rsidR="00CE78AA" w:rsidRPr="00EC5244" w:rsidRDefault="00CE78AA" w:rsidP="00CE78AA">
      <w:pPr>
        <w:pStyle w:val="TAMainText"/>
        <w:rPr>
          <w:lang w:val="en-CA"/>
        </w:rPr>
      </w:pPr>
    </w:p>
    <w:p w14:paraId="270CCAE2" w14:textId="184C0C15" w:rsidR="00CE78AA" w:rsidRPr="00EC5244" w:rsidRDefault="001335E9" w:rsidP="00CE78AA">
      <w:pPr>
        <w:pStyle w:val="TAMainText"/>
        <w:rPr>
          <w:lang w:val="en-CA"/>
        </w:rPr>
      </w:pPr>
      <w:r w:rsidRPr="00EC5244">
        <w:rPr>
          <w:lang w:val="en-CA"/>
        </w:rPr>
        <w:t xml:space="preserve">Now our earlier proposal on hydrotropy mechanism (Eq. (1)) can be generalized to concentrated solutes.  </w:t>
      </w:r>
      <w:r w:rsidR="00CE78AA" w:rsidRPr="00EC5244">
        <w:rPr>
          <w:lang w:val="en-CA"/>
        </w:rPr>
        <w:t xml:space="preserve">Firstly, a large positive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00CE78AA" w:rsidRPr="00EC5244">
        <w:rPr>
          <w:lang w:val="en-CA"/>
        </w:rPr>
        <w:t xml:space="preserve"> drives solubilization, through making </w:t>
      </w:r>
      <m:oMath>
        <m:f>
          <m:fPr>
            <m:ctrlPr>
              <w:rPr>
                <w:rFonts w:ascii="Cambria Math" w:hAnsi="Cambria Math"/>
                <w:i/>
                <w:lang w:val="en-CA"/>
              </w:rPr>
            </m:ctrlPr>
          </m:fPr>
          <m:num>
            <m:r>
              <w:rPr>
                <w:rFonts w:ascii="Cambria Math" w:hAnsi="Cambria Math"/>
                <w:lang w:val="en-CA"/>
              </w:rPr>
              <m:t>1</m:t>
            </m:r>
          </m:num>
          <m:den>
            <m:r>
              <w:rPr>
                <w:rFonts w:ascii="Cambria Math" w:hAnsi="Cambria Math"/>
                <w:lang w:val="en-CA"/>
              </w:rPr>
              <m:t>RT</m:t>
            </m:r>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c</m:t>
                </m:r>
              </m:e>
              <m:sub>
                <m:sSup>
                  <m:sSupPr>
                    <m:ctrlPr>
                      <w:rPr>
                        <w:rFonts w:ascii="Cambria Math" w:hAnsi="Cambria Math"/>
                        <w:i/>
                        <w:lang w:val="en-CA"/>
                      </w:rPr>
                    </m:ctrlPr>
                  </m:sSupPr>
                  <m:e>
                    <m:r>
                      <w:rPr>
                        <w:rFonts w:ascii="Cambria Math" w:hAnsi="Cambria Math"/>
                        <w:lang w:val="en-CA"/>
                      </w:rPr>
                      <m:t>j</m:t>
                    </m:r>
                  </m:e>
                  <m:sup>
                    <m:r>
                      <w:rPr>
                        <w:rFonts w:ascii="Cambria Math" w:hAnsi="Cambria Math"/>
                        <w:lang w:val="en-CA"/>
                      </w:rPr>
                      <m:t>'</m:t>
                    </m:r>
                  </m:sup>
                </m:sSup>
                <m:r>
                  <w:rPr>
                    <w:rFonts w:ascii="Cambria Math" w:hAnsi="Cambria Math"/>
                    <w:lang w:val="en-CA"/>
                  </w:rPr>
                  <m:t>≠2</m:t>
                </m:r>
              </m:sub>
            </m:sSub>
          </m:sub>
        </m:sSub>
      </m:oMath>
      <w:r w:rsidR="005840E7" w:rsidRPr="00EC5244">
        <w:rPr>
          <w:lang w:val="en-CA"/>
        </w:rPr>
        <w:t xml:space="preserve"> negative (a</w:t>
      </w:r>
      <w:r w:rsidR="00CE78AA" w:rsidRPr="00EC5244">
        <w:rPr>
          <w:lang w:val="en-CA"/>
        </w:rPr>
        <w:t>) by making its numerator large and nega</w:t>
      </w:r>
      <w:r w:rsidR="005840E7" w:rsidRPr="00EC5244">
        <w:rPr>
          <w:lang w:val="en-CA"/>
        </w:rPr>
        <w:t>tive (Eqs. (14) and (15)), and (b</w:t>
      </w:r>
      <w:r w:rsidR="00CE78AA" w:rsidRPr="00EC5244">
        <w:rPr>
          <w:lang w:val="en-CA"/>
        </w:rPr>
        <w:t>) by reducing the magnitude of its denominator and increase the solubilization efficiency when the solute-hydrotrope interaction is strong enough</w:t>
      </w:r>
      <w:r w:rsidR="00102DCF" w:rsidRPr="00EC5244">
        <w:rPr>
          <w:lang w:val="en-CA"/>
        </w:rPr>
        <w:t xml:space="preserve"> with attractive potential of mean force</w:t>
      </w:r>
      <w:r w:rsidR="00CE78AA" w:rsidRPr="00EC5244">
        <w:rPr>
          <w:lang w:val="en-CA"/>
        </w:rPr>
        <w:t xml:space="preserve">, which can be seen clearly by the contribution of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00CE78AA" w:rsidRPr="00EC5244">
        <w:rPr>
          <w:lang w:val="en-CA"/>
        </w:rPr>
        <w:t xml:space="preserve"> to </w:t>
      </w:r>
      <m:oMath>
        <m:d>
          <m:dPr>
            <m:begChr m:val="|"/>
            <m:endChr m:val="|"/>
            <m:ctrlPr>
              <w:rPr>
                <w:rFonts w:ascii="Cambria Math" w:hAnsi="Cambria Math"/>
                <w:i/>
                <w:lang w:val="en-CA"/>
              </w:rPr>
            </m:ctrlPr>
          </m:dPr>
          <m:e>
            <m:r>
              <w:rPr>
                <w:rFonts w:ascii="Cambria Math" w:hAnsi="Cambria Math"/>
                <w:lang w:val="en-CA"/>
              </w:rPr>
              <m:t>B</m:t>
            </m:r>
          </m:e>
        </m:d>
      </m:oMath>
      <w:r w:rsidR="00CE78AA" w:rsidRPr="00EC5244">
        <w:rPr>
          <w:lang w:val="en-CA"/>
        </w:rPr>
        <w:t xml:space="preserve">, </w:t>
      </w:r>
    </w:p>
    <w:p w14:paraId="30D0015E" w14:textId="04B9405D" w:rsidR="00CE78AA" w:rsidRPr="00EC5244" w:rsidRDefault="00CE78AA" w:rsidP="00CE78AA">
      <w:pPr>
        <w:pStyle w:val="TAMainText"/>
        <w:rPr>
          <w:lang w:val="en-CA"/>
        </w:rPr>
      </w:pPr>
      <m:oMath>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1</m:t>
            </m:r>
          </m:sub>
          <m:sup>
            <m:r>
              <w:rPr>
                <w:rFonts w:ascii="Cambria Math" w:hAnsi="Cambria Math"/>
                <w:lang w:val="en-CA"/>
              </w:rPr>
              <m:t>2</m:t>
            </m:r>
          </m:sup>
        </m:sSubSup>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2</m:t>
            </m:r>
          </m:sup>
        </m:sSubSup>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2</m:t>
            </m:r>
          </m:sup>
        </m:sSubSup>
        <m:d>
          <m:dPr>
            <m:begChr m:val="["/>
            <m:endChr m:val="]"/>
            <m:ctrlPr>
              <w:rPr>
                <w:rFonts w:ascii="Cambria Math" w:hAnsi="Cambria Math"/>
                <w:i/>
                <w:lang w:val="en-CA"/>
              </w:rPr>
            </m:ctrlPr>
          </m:dPr>
          <m:e>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11</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1</m:t>
                        </m:r>
                      </m:sub>
                    </m:sSub>
                  </m:den>
                </m:f>
              </m:e>
            </m:d>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u2</m:t>
                </m:r>
              </m:sub>
              <m:sup>
                <m:r>
                  <w:rPr>
                    <w:rFonts w:ascii="Cambria Math" w:hAnsi="Cambria Math"/>
                    <w:lang w:val="en-CA"/>
                  </w:rPr>
                  <m:t>2</m:t>
                </m:r>
              </m:sup>
            </m:sSubSup>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21</m:t>
                </m:r>
              </m:sub>
            </m:sSub>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e>
        </m:d>
      </m:oMath>
      <w:r w:rsidRPr="00EC5244">
        <w:rPr>
          <w:lang w:val="en-CA"/>
        </w:rPr>
        <w:tab/>
      </w:r>
      <w:r w:rsidRPr="00EC5244">
        <w:rPr>
          <w:lang w:val="en-CA"/>
        </w:rPr>
        <w:tab/>
      </w:r>
      <w:r w:rsidRPr="00EC5244">
        <w:rPr>
          <w:lang w:val="en-CA"/>
        </w:rPr>
        <w:tab/>
      </w:r>
      <w:r w:rsidRPr="00EC5244">
        <w:rPr>
          <w:lang w:val="en-CA"/>
        </w:rPr>
        <w:tab/>
      </w:r>
      <w:r w:rsidRPr="00EC5244">
        <w:rPr>
          <w:lang w:val="en-CA"/>
        </w:rPr>
        <w:tab/>
      </w:r>
      <w:r w:rsidRPr="00EC5244">
        <w:rPr>
          <w:lang w:val="en-CA"/>
        </w:rPr>
        <w:tab/>
      </w:r>
      <w:r w:rsidRPr="00EC5244">
        <w:rPr>
          <w:lang w:val="en-CA"/>
        </w:rPr>
        <w:tab/>
        <w:t>(17)</w:t>
      </w:r>
    </w:p>
    <w:p w14:paraId="36D12EA4" w14:textId="4BAB26FA" w:rsidR="00CE78AA" w:rsidRPr="00EC5244" w:rsidRDefault="00CE78AA" w:rsidP="00CE78AA">
      <w:pPr>
        <w:pStyle w:val="TAMainText"/>
        <w:ind w:firstLine="0"/>
        <w:rPr>
          <w:lang w:val="en-CA"/>
        </w:rPr>
      </w:pPr>
      <w:r w:rsidRPr="00EC5244">
        <w:rPr>
          <w:lang w:val="en-CA"/>
        </w:rPr>
        <w:t xml:space="preserve">which is a negative contribution when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Pr="00EC5244">
        <w:rPr>
          <w:lang w:val="en-CA"/>
        </w:rPr>
        <w:t xml:space="preserve"> is large enough. Secondly, hydrotrope self-aggregation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Pr="00EC5244">
        <w:rPr>
          <w:lang w:val="en-CA"/>
        </w:rPr>
        <w:t xml:space="preserve"> contributes to increase the denominator, thereby making per-hydrotrope solubilization ine</w:t>
      </w:r>
      <w:r w:rsidR="001335E9" w:rsidRPr="00EC5244">
        <w:rPr>
          <w:lang w:val="en-CA"/>
        </w:rPr>
        <w:t>fficient. This is seen in</w:t>
      </w:r>
      <w:r w:rsidRPr="00EC5244">
        <w:rPr>
          <w:lang w:val="en-CA"/>
        </w:rPr>
        <w:t xml:space="preserve"> the following contribution of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Pr="00EC5244">
        <w:rPr>
          <w:lang w:val="en-CA"/>
        </w:rPr>
        <w:t xml:space="preserve"> to </w:t>
      </w:r>
      <m:oMath>
        <m:d>
          <m:dPr>
            <m:begChr m:val="|"/>
            <m:endChr m:val="|"/>
            <m:ctrlPr>
              <w:rPr>
                <w:rFonts w:ascii="Cambria Math" w:hAnsi="Cambria Math"/>
                <w:i/>
                <w:lang w:val="en-CA"/>
              </w:rPr>
            </m:ctrlPr>
          </m:dPr>
          <m:e>
            <m:r>
              <w:rPr>
                <w:rFonts w:ascii="Cambria Math" w:hAnsi="Cambria Math"/>
                <w:lang w:val="en-CA"/>
              </w:rPr>
              <m:t>B</m:t>
            </m:r>
          </m:e>
        </m:d>
      </m:oMath>
    </w:p>
    <w:p w14:paraId="11F72BF6" w14:textId="2C4335BE" w:rsidR="00CE78AA" w:rsidRPr="00EC5244" w:rsidRDefault="000C7FF6" w:rsidP="00CE78AA">
      <w:pPr>
        <w:pStyle w:val="TAMainText"/>
        <w:ind w:firstLine="0"/>
        <w:rPr>
          <w:lang w:val="en-CA"/>
        </w:rPr>
      </w:pP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22</m:t>
            </m:r>
          </m:sub>
        </m:sSub>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uu</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B</m:t>
                </m:r>
              </m:e>
              <m:sub>
                <m:r>
                  <w:rPr>
                    <w:rFonts w:ascii="Cambria Math" w:hAnsi="Cambria Math"/>
                    <w:lang w:val="en-CA"/>
                  </w:rPr>
                  <m:t>u1</m:t>
                </m:r>
              </m:sub>
              <m:sup>
                <m:r>
                  <w:rPr>
                    <w:rFonts w:ascii="Cambria Math" w:hAnsi="Cambria Math"/>
                    <w:lang w:val="en-CA"/>
                  </w:rPr>
                  <m:t>2</m:t>
                </m:r>
              </m:sup>
            </m:sSubSup>
          </m:e>
        </m:d>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1</m:t>
            </m:r>
          </m:sub>
          <m:sup>
            <m:r>
              <w:rPr>
                <w:rFonts w:ascii="Cambria Math" w:hAnsi="Cambria Math"/>
                <w:lang w:val="en-CA"/>
              </w:rPr>
              <m:t>2</m:t>
            </m:r>
          </m:sup>
        </m:sSubSup>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2</m:t>
            </m:r>
          </m:sub>
          <m:sup>
            <m:r>
              <w:rPr>
                <w:rFonts w:ascii="Cambria Math" w:hAnsi="Cambria Math"/>
                <w:lang w:val="en-CA"/>
              </w:rPr>
              <m:t>2</m:t>
            </m:r>
          </m:sup>
        </m:sSubSup>
        <m:sSubSup>
          <m:sSubSupPr>
            <m:ctrlPr>
              <w:rPr>
                <w:rFonts w:ascii="Cambria Math" w:hAnsi="Cambria Math"/>
                <w:i/>
                <w:lang w:val="en-CA"/>
              </w:rPr>
            </m:ctrlPr>
          </m:sSubSupPr>
          <m:e>
            <m:r>
              <w:rPr>
                <w:rFonts w:ascii="Cambria Math" w:hAnsi="Cambria Math"/>
                <w:lang w:val="en-CA"/>
              </w:rPr>
              <m:t>c</m:t>
            </m:r>
          </m:e>
          <m:sub>
            <m:r>
              <w:rPr>
                <w:rFonts w:ascii="Cambria Math" w:hAnsi="Cambria Math"/>
                <w:lang w:val="en-CA"/>
              </w:rPr>
              <m:t>u</m:t>
            </m:r>
          </m:sub>
          <m:sup>
            <m:r>
              <w:rPr>
                <w:rFonts w:ascii="Cambria Math" w:hAnsi="Cambria Math"/>
                <w:lang w:val="en-CA"/>
              </w:rPr>
              <m:t>2</m:t>
            </m:r>
          </m:sup>
        </m:sSubSup>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den>
            </m:f>
          </m:e>
        </m:d>
        <m:d>
          <m:dPr>
            <m:begChr m:val="["/>
            <m:endChr m:val="]"/>
            <m:ctrlPr>
              <w:rPr>
                <w:rFonts w:ascii="Cambria Math" w:hAnsi="Cambria Math"/>
                <w:i/>
                <w:lang w:val="en-CA"/>
              </w:rPr>
            </m:ctrlPr>
          </m:dPr>
          <m:e>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11</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1</m:t>
                        </m:r>
                      </m:sub>
                    </m:sSub>
                  </m:den>
                </m:f>
              </m:e>
            </m:d>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uu</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den>
                </m:f>
              </m:e>
            </m:d>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u1</m:t>
                </m:r>
              </m:sub>
              <m:sup>
                <m:r>
                  <w:rPr>
                    <w:rFonts w:ascii="Cambria Math" w:hAnsi="Cambria Math"/>
                    <w:lang w:val="en-CA"/>
                  </w:rPr>
                  <m:t>2</m:t>
                </m:r>
              </m:sup>
            </m:sSubSup>
          </m:e>
        </m:d>
      </m:oMath>
      <w:r w:rsidR="00AB6D43" w:rsidRPr="00EC5244">
        <w:rPr>
          <w:lang w:val="en-CA"/>
        </w:rPr>
        <w:tab/>
      </w:r>
      <w:r w:rsidR="00AB6D43" w:rsidRPr="00EC5244">
        <w:rPr>
          <w:lang w:val="en-CA"/>
        </w:rPr>
        <w:tab/>
      </w:r>
      <w:r w:rsidR="00AB6D43" w:rsidRPr="00EC5244">
        <w:rPr>
          <w:lang w:val="en-CA"/>
        </w:rPr>
        <w:tab/>
      </w:r>
      <w:r w:rsidR="00CE78AA" w:rsidRPr="00EC5244">
        <w:rPr>
          <w:lang w:val="en-CA"/>
        </w:rPr>
        <w:t xml:space="preserve">(18) </w:t>
      </w:r>
    </w:p>
    <w:p w14:paraId="106BB34E" w14:textId="7F99FCE6" w:rsidR="00CE78AA" w:rsidRPr="00EC5244" w:rsidRDefault="00BD359E" w:rsidP="00675CF7">
      <w:pPr>
        <w:pStyle w:val="TAMainText"/>
        <w:ind w:firstLine="0"/>
        <w:rPr>
          <w:lang w:val="en-CA"/>
        </w:rPr>
      </w:pPr>
      <w:r w:rsidRPr="00EC5244">
        <w:rPr>
          <w:lang w:val="en-CA"/>
        </w:rPr>
        <w:t xml:space="preserve">in </w:t>
      </w:r>
      <w:r w:rsidR="00C4181C" w:rsidRPr="00EC5244">
        <w:rPr>
          <w:lang w:val="en-CA"/>
        </w:rPr>
        <w:t xml:space="preserve">which </w:t>
      </w:r>
      <m:oMath>
        <m:d>
          <m:dPr>
            <m:begChr m:val="["/>
            <m:endChr m:val="]"/>
            <m:ctrlPr>
              <w:rPr>
                <w:rFonts w:ascii="Cambria Math" w:hAnsi="Cambria Math"/>
                <w:i/>
                <w:lang w:val="en-CA"/>
              </w:rPr>
            </m:ctrlPr>
          </m:dPr>
          <m:e>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11</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1</m:t>
                        </m:r>
                      </m:sub>
                    </m:sSub>
                  </m:den>
                </m:f>
              </m:e>
            </m:d>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uu</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den>
                </m:f>
              </m:e>
            </m:d>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u1</m:t>
                </m:r>
              </m:sub>
              <m:sup>
                <m:r>
                  <w:rPr>
                    <w:rFonts w:ascii="Cambria Math" w:hAnsi="Cambria Math"/>
                    <w:lang w:val="en-CA"/>
                  </w:rPr>
                  <m:t>2</m:t>
                </m:r>
              </m:sup>
            </m:sSubSup>
          </m:e>
        </m:d>
      </m:oMath>
      <w:r w:rsidR="00CE78AA" w:rsidRPr="00EC5244">
        <w:rPr>
          <w:lang w:val="en-CA"/>
        </w:rPr>
        <w:t xml:space="preserve"> </w:t>
      </w:r>
      <w:r w:rsidR="00C4181C" w:rsidRPr="00EC5244">
        <w:rPr>
          <w:lang w:val="en-CA"/>
        </w:rPr>
        <w:t xml:space="preserve">can be proven to be positive based upon Schwartz inequality. </w:t>
      </w:r>
      <w:r w:rsidR="00381C25" w:rsidRPr="00EC5244">
        <w:rPr>
          <w:lang w:val="en-CA"/>
        </w:rPr>
        <w:t xml:space="preserve">This can also be proven through the thermodynamic stability condition using </w:t>
      </w: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uu</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B</m:t>
            </m:r>
          </m:e>
          <m:sub>
            <m:r>
              <w:rPr>
                <w:rFonts w:ascii="Cambria Math" w:hAnsi="Cambria Math"/>
                <w:lang w:val="en-CA"/>
              </w:rPr>
              <m:t>1u</m:t>
            </m:r>
          </m:sub>
          <m:sup>
            <m:r>
              <w:rPr>
                <w:rFonts w:ascii="Cambria Math" w:hAnsi="Cambria Math"/>
                <w:lang w:val="en-CA"/>
              </w:rPr>
              <m:t>2</m:t>
            </m:r>
          </m:sup>
        </m:sSubSup>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RT</m:t>
            </m:r>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j≠2</m:t>
                </m:r>
              </m:sub>
            </m:sSub>
          </m:sub>
        </m:sSub>
        <m:d>
          <m:dPr>
            <m:begChr m:val="|"/>
            <m:endChr m:val="|"/>
            <m:ctrlPr>
              <w:rPr>
                <w:rFonts w:ascii="Cambria Math" w:hAnsi="Cambria Math"/>
                <w:i/>
                <w:lang w:val="en-CA"/>
              </w:rPr>
            </m:ctrlPr>
          </m:dPr>
          <m:e>
            <m:r>
              <w:rPr>
                <w:rFonts w:ascii="Cambria Math" w:hAnsi="Cambria Math"/>
                <w:lang w:val="en-CA"/>
              </w:rPr>
              <m:t>B</m:t>
            </m:r>
          </m:e>
        </m:d>
        <m:r>
          <w:rPr>
            <w:rFonts w:ascii="Cambria Math" w:hAnsi="Cambria Math"/>
            <w:lang w:val="en-CA"/>
          </w:rPr>
          <m:t>&gt;0</m:t>
        </m:r>
      </m:oMath>
      <w:r w:rsidR="00381C25" w:rsidRPr="00EC5244">
        <w:rPr>
          <w:lang w:val="en-CA"/>
        </w:rPr>
        <w:t>.</w:t>
      </w:r>
      <w:r w:rsidR="004E54F0" w:rsidRPr="00EC5244">
        <w:rPr>
          <w:lang w:val="en-CA"/>
        </w:rPr>
        <w:fldChar w:fldCharType="begin" w:fldLock="1"/>
      </w:r>
      <w:r w:rsidR="004E54F0" w:rsidRPr="00EC5244">
        <w:rPr>
          <w:lang w:val="en-CA"/>
        </w:rPr>
        <w:instrText>ADDIN CSL_CITATION { "citationItems" : [ { "id" : "ITEM-1", "itemData" : { "author" : [ { "dropping-particle" : "", "family" : "Gazzillo", "given" : "Domeniko", "non-dropping-particle" : "", "parse-names" : false, "suffix" : "" } ], "container-title" : "Molecular Physics", "id" : "ITEM-1",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"&lt;sup&gt;52&lt;/sup&gt;", "plainTextFormattedCitation" : "52", "previouslyFormattedCitation" : "&lt;sup&gt;52&lt;/sup&gt;" }, "properties" : { "noteIndex" : 0 }, "schema" : "https://github.com/citation-style-language/schema/raw/master/csl-citation.json" }</w:instrText>
      </w:r>
      <w:r w:rsidR="004E54F0" w:rsidRPr="00EC5244">
        <w:rPr>
          <w:lang w:val="en-CA"/>
        </w:rPr>
        <w:fldChar w:fldCharType="separate"/>
      </w:r>
      <w:r w:rsidR="004E54F0" w:rsidRPr="00EC5244">
        <w:rPr>
          <w:noProof/>
          <w:vertAlign w:val="superscript"/>
          <w:lang w:val="en-CA"/>
        </w:rPr>
        <w:t>52</w:t>
      </w:r>
      <w:r w:rsidR="004E54F0" w:rsidRPr="00EC5244">
        <w:rPr>
          <w:lang w:val="en-CA"/>
        </w:rPr>
        <w:fldChar w:fldCharType="end"/>
      </w:r>
      <w:r w:rsidR="00381C25" w:rsidRPr="00EC5244">
        <w:rPr>
          <w:lang w:val="en-CA"/>
        </w:rPr>
        <w:t xml:space="preserve"> </w:t>
      </w:r>
      <w:r w:rsidR="00CE78AA" w:rsidRPr="00EC5244">
        <w:rPr>
          <w:lang w:val="en-CA"/>
        </w:rPr>
        <w:t xml:space="preserve">We have shown that the two driving forces of solubilization </w:t>
      </w:r>
      <w:r w:rsidR="001335E9" w:rsidRPr="00EC5244">
        <w:rPr>
          <w:lang w:val="en-CA"/>
        </w:rPr>
        <w:t>identified in Section 2.1 still holds true</w:t>
      </w:r>
      <w:r w:rsidR="00CE78AA" w:rsidRPr="00EC5244">
        <w:rPr>
          <w:lang w:val="en-CA"/>
        </w:rPr>
        <w:t xml:space="preserve"> even for concentrated solutes. </w:t>
      </w:r>
    </w:p>
    <w:p w14:paraId="764E18DE" w14:textId="77777777" w:rsidR="00675CF7" w:rsidRPr="00EC5244" w:rsidRDefault="00675CF7" w:rsidP="00675CF7">
      <w:pPr>
        <w:pStyle w:val="TAMainText"/>
        <w:ind w:firstLine="0"/>
        <w:rPr>
          <w:lang w:val="en-CA"/>
        </w:rPr>
      </w:pPr>
    </w:p>
    <w:p w14:paraId="0D1F18D5" w14:textId="03988CE7" w:rsidR="00FA2F3A" w:rsidRPr="00EC5244" w:rsidRDefault="006F588C" w:rsidP="00283FBB">
      <w:pPr>
        <w:pStyle w:val="TAMainText"/>
        <w:ind w:firstLine="0"/>
        <w:rPr>
          <w:b/>
          <w:lang w:val="en-CA"/>
        </w:rPr>
      </w:pPr>
      <w:r w:rsidRPr="00EC5244">
        <w:rPr>
          <w:b/>
          <w:lang w:val="en-CA"/>
        </w:rPr>
        <w:t>5.</w:t>
      </w:r>
      <w:r w:rsidR="00FA2F3A" w:rsidRPr="00EC5244">
        <w:rPr>
          <w:b/>
          <w:lang w:val="en-CA"/>
        </w:rPr>
        <w:t>2. Biphasic systems</w:t>
      </w:r>
    </w:p>
    <w:p w14:paraId="34954DD5" w14:textId="77777777" w:rsidR="00253ACE" w:rsidRPr="00EC5244" w:rsidRDefault="00253ACE" w:rsidP="00283FBB">
      <w:pPr>
        <w:pStyle w:val="TAMainText"/>
        <w:ind w:firstLine="0"/>
        <w:rPr>
          <w:lang w:val="en-CA"/>
        </w:rPr>
      </w:pPr>
    </w:p>
    <w:p w14:paraId="50BF9F11" w14:textId="03CFABEB" w:rsidR="00253ACE" w:rsidRPr="00EC5244" w:rsidRDefault="00675CF7" w:rsidP="00283FBB">
      <w:pPr>
        <w:pStyle w:val="TAMainText"/>
        <w:ind w:firstLine="0"/>
        <w:rPr>
          <w:lang w:val="en-CA"/>
        </w:rPr>
      </w:pPr>
      <w:r w:rsidRPr="00EC5244">
        <w:rPr>
          <w:lang w:val="en-CA"/>
        </w:rPr>
        <w:t>To illustrate the principle, let us consider the system of t</w:t>
      </w:r>
      <w:r w:rsidR="00253ACE" w:rsidRPr="00EC5244">
        <w:rPr>
          <w:lang w:val="en-CA"/>
        </w:rPr>
        <w:t>hree components (</w:t>
      </w:r>
      <m:oMath>
        <m:r>
          <w:rPr>
            <w:rFonts w:ascii="Cambria Math" w:hAnsi="Cambria Math"/>
            <w:lang w:val="en-CA"/>
          </w:rPr>
          <m:t>C=3</m:t>
        </m:r>
      </m:oMath>
      <w:r w:rsidR="00253ACE" w:rsidRPr="00EC5244">
        <w:rPr>
          <w:lang w:val="en-CA"/>
        </w:rPr>
        <w:t>) with two phases (</w:t>
      </w:r>
      <m:oMath>
        <m:r>
          <w:rPr>
            <w:rFonts w:ascii="Cambria Math" w:hAnsi="Cambria Math"/>
            <w:lang w:val="en-CA"/>
          </w:rPr>
          <m:t>P=2</m:t>
        </m:r>
      </m:oMath>
      <w:r w:rsidR="00253ACE" w:rsidRPr="00EC5244">
        <w:rPr>
          <w:lang w:val="en-CA"/>
        </w:rPr>
        <w:t xml:space="preserve">) yields </w:t>
      </w:r>
      <m:oMath>
        <m:r>
          <w:rPr>
            <w:rFonts w:ascii="Cambria Math" w:hAnsi="Cambria Math"/>
            <w:lang w:val="en-CA"/>
          </w:rPr>
          <m:t>F=3-2+2=3</m:t>
        </m:r>
      </m:oMath>
      <w:r w:rsidR="00253ACE" w:rsidRPr="00EC5244">
        <w:rPr>
          <w:lang w:val="en-CA"/>
        </w:rPr>
        <w:t xml:space="preserve"> as the degree of freedom. Under isothermal condition (</w:t>
      </w:r>
      <m:oMath>
        <m:r>
          <w:rPr>
            <w:rFonts w:ascii="Cambria Math" w:hAnsi="Cambria Math"/>
            <w:lang w:val="en-CA"/>
          </w:rPr>
          <m:t>T</m:t>
        </m:r>
      </m:oMath>
      <w:r w:rsidR="00253ACE" w:rsidRPr="00EC5244">
        <w:rPr>
          <w:lang w:val="en-CA"/>
        </w:rPr>
        <w:t xml:space="preserve">=constant), there are two other variables that can be changed independently. </w:t>
      </w:r>
      <w:r w:rsidR="005B0131" w:rsidRPr="00EC5244">
        <w:t xml:space="preserve">One cannot control </w:t>
      </w:r>
      <w:r w:rsidR="00080940" w:rsidRPr="00EC5244">
        <w:rPr>
          <w:lang w:val="en-CA"/>
        </w:rPr>
        <w:t xml:space="preserve">the concentrations of the solute, water, and hydrotropes independently. </w:t>
      </w:r>
      <w:r w:rsidR="00253ACE" w:rsidRPr="00EC5244">
        <w:rPr>
          <w:lang w:val="en-CA"/>
        </w:rPr>
        <w:t xml:space="preserve">Under this condition, there are only two independent KB integrals determinable in principle out of solute-solute, solute-water and solute-hydrotrope. This means that two relative KB integrals are determinable. Any one of the three KBI can be a reference, </w:t>
      </w:r>
      <w:r w:rsidR="005B0131" w:rsidRPr="00EC5244">
        <w:rPr>
          <w:lang w:val="en-CA"/>
        </w:rPr>
        <w:t xml:space="preserve">and Gibbs dividing surface is an example </w:t>
      </w:r>
      <w:r w:rsidR="00653FC6" w:rsidRPr="00EC5244">
        <w:rPr>
          <w:lang w:val="en-CA"/>
        </w:rPr>
        <w:t>with the solute-water KBI as the reference</w:t>
      </w:r>
      <w:r w:rsidR="006D3CF7" w:rsidRPr="00EC5244">
        <w:rPr>
          <w:lang w:val="en-CA"/>
        </w:rPr>
        <w:t xml:space="preserve">. But </w:t>
      </w:r>
      <w:r w:rsidR="00253ACE" w:rsidRPr="00EC5244">
        <w:rPr>
          <w:lang w:val="en-CA"/>
        </w:rPr>
        <w:t>suppose that we choose solute-solute as a reference. In this case the two relative KBIs, i.e., (solute-water)-(solute-solute) and (solute-hydrotrope)-(solute-solute)</w:t>
      </w:r>
      <w:r w:rsidR="00080940" w:rsidRPr="00EC5244">
        <w:rPr>
          <w:lang w:val="en-CA"/>
        </w:rPr>
        <w:t>, are determinable in principle</w:t>
      </w:r>
      <w:r w:rsidR="00B21683" w:rsidRPr="00EC5244">
        <w:rPr>
          <w:lang w:val="en-CA"/>
        </w:rPr>
        <w:t xml:space="preserve">. This is not the ideal of full information, </w:t>
      </w:r>
      <w:r w:rsidR="00080940" w:rsidRPr="00EC5244">
        <w:rPr>
          <w:lang w:val="en-CA"/>
        </w:rPr>
        <w:t>yet</w:t>
      </w:r>
      <w:r w:rsidR="00B21683" w:rsidRPr="00EC5244">
        <w:rPr>
          <w:lang w:val="en-CA"/>
        </w:rPr>
        <w:t xml:space="preserve"> it</w:t>
      </w:r>
      <w:r w:rsidR="00080940" w:rsidRPr="00EC5244">
        <w:rPr>
          <w:lang w:val="en-CA"/>
        </w:rPr>
        <w:t xml:space="preserve"> is informative enough to yields the </w:t>
      </w:r>
      <w:r w:rsidR="00D8794C" w:rsidRPr="00EC5244">
        <w:rPr>
          <w:lang w:val="en-CA"/>
        </w:rPr>
        <w:t xml:space="preserve">partitioning of the solute into two phases. </w:t>
      </w:r>
      <w:r w:rsidR="00F40C5C" w:rsidRPr="00EC5244">
        <w:rPr>
          <w:lang w:val="en-CA"/>
        </w:rPr>
        <w:t xml:space="preserve">The KBIs can be determinable also by the inversion of the KB theory. </w:t>
      </w:r>
    </w:p>
    <w:p w14:paraId="7F2E99F9" w14:textId="77777777" w:rsidR="00253ACE" w:rsidRPr="00EC5244" w:rsidRDefault="00253ACE" w:rsidP="00283FBB">
      <w:pPr>
        <w:pStyle w:val="TAMainText"/>
        <w:ind w:firstLine="0"/>
        <w:rPr>
          <w:b/>
          <w:lang w:val="en-CA"/>
        </w:rPr>
      </w:pPr>
    </w:p>
    <w:p w14:paraId="043C7D86" w14:textId="6E9233CE" w:rsidR="00FA2F3A" w:rsidRPr="00EC5244" w:rsidRDefault="006F588C" w:rsidP="00283FBB">
      <w:pPr>
        <w:pStyle w:val="TAMainText"/>
        <w:ind w:firstLine="0"/>
        <w:rPr>
          <w:b/>
          <w:lang w:val="en-CA"/>
        </w:rPr>
      </w:pPr>
      <w:r w:rsidRPr="00EC5244">
        <w:rPr>
          <w:b/>
          <w:lang w:val="en-CA"/>
        </w:rPr>
        <w:t>5</w:t>
      </w:r>
      <w:r w:rsidR="00FA2F3A" w:rsidRPr="00EC5244">
        <w:rPr>
          <w:b/>
          <w:lang w:val="en-CA"/>
        </w:rPr>
        <w:t>.3. Micel</w:t>
      </w:r>
      <w:r w:rsidR="00444FD8" w:rsidRPr="00EC5244">
        <w:rPr>
          <w:b/>
          <w:lang w:val="en-CA"/>
        </w:rPr>
        <w:t>lar solubilization</w:t>
      </w:r>
    </w:p>
    <w:p w14:paraId="12CB19CC" w14:textId="77777777" w:rsidR="00D8794C" w:rsidRPr="00EC5244" w:rsidRDefault="00D8794C" w:rsidP="00283FBB">
      <w:pPr>
        <w:pStyle w:val="TAMainText"/>
        <w:ind w:firstLine="0"/>
        <w:rPr>
          <w:lang w:val="en-CA"/>
        </w:rPr>
      </w:pPr>
    </w:p>
    <w:p w14:paraId="04B0041D" w14:textId="7A666774" w:rsidR="00C4181C" w:rsidRPr="00EC5244" w:rsidRDefault="00675CF7" w:rsidP="005B0131">
      <w:pPr>
        <w:pStyle w:val="TAMainText"/>
        <w:ind w:firstLine="0"/>
        <w:rPr>
          <w:lang w:val="en-CA"/>
        </w:rPr>
      </w:pPr>
      <w:r w:rsidRPr="00EC5244">
        <w:rPr>
          <w:lang w:val="en-CA"/>
        </w:rPr>
        <w:t>For illustration purposes, we</w:t>
      </w:r>
      <w:r w:rsidR="00D8794C" w:rsidRPr="00EC5244">
        <w:rPr>
          <w:lang w:val="en-CA"/>
        </w:rPr>
        <w:t xml:space="preserve"> consider a four component (</w:t>
      </w:r>
      <m:oMath>
        <m:r>
          <w:rPr>
            <w:rFonts w:ascii="Cambria Math" w:hAnsi="Cambria Math"/>
            <w:lang w:val="en-CA"/>
          </w:rPr>
          <m:t>C=4</m:t>
        </m:r>
      </m:oMath>
      <w:r w:rsidR="00D8794C" w:rsidRPr="00EC5244">
        <w:rPr>
          <w:lang w:val="en-CA"/>
        </w:rPr>
        <w:t>) system comprised of wat</w:t>
      </w:r>
      <w:r w:rsidR="00164C2C" w:rsidRPr="00EC5244">
        <w:rPr>
          <w:lang w:val="en-CA"/>
        </w:rPr>
        <w:t>er, monomer, micelle and solute.</w:t>
      </w:r>
      <w:r w:rsidR="00D8794C" w:rsidRPr="00EC5244">
        <w:rPr>
          <w:lang w:val="en-CA"/>
        </w:rPr>
        <w:t xml:space="preserve"> The system is in a single phase (</w:t>
      </w:r>
      <m:oMath>
        <m:r>
          <w:rPr>
            <w:rFonts w:ascii="Cambria Math" w:hAnsi="Cambria Math"/>
            <w:lang w:val="en-CA"/>
          </w:rPr>
          <m:t>P=1</m:t>
        </m:r>
      </m:oMath>
      <w:r w:rsidR="00D8794C" w:rsidRPr="00EC5244">
        <w:rPr>
          <w:lang w:val="en-CA"/>
        </w:rPr>
        <w:t xml:space="preserve">). Hence </w:t>
      </w:r>
      <m:oMath>
        <m:r>
          <w:rPr>
            <w:rFonts w:ascii="Cambria Math" w:hAnsi="Cambria Math"/>
            <w:lang w:val="en-CA"/>
          </w:rPr>
          <m:t>F=4-1+2=5</m:t>
        </m:r>
      </m:oMath>
      <w:r w:rsidR="00D8794C" w:rsidRPr="00EC5244">
        <w:rPr>
          <w:lang w:val="en-CA"/>
        </w:rPr>
        <w:t xml:space="preserve">.  A further consideration of an additional </w:t>
      </w:r>
      <w:r w:rsidR="00164C2C" w:rsidRPr="00EC5244">
        <w:rPr>
          <w:lang w:val="en-CA"/>
        </w:rPr>
        <w:t xml:space="preserve">stoichiometric </w:t>
      </w:r>
      <w:r w:rsidR="00D8794C" w:rsidRPr="00EC5244">
        <w:rPr>
          <w:lang w:val="en-CA"/>
        </w:rPr>
        <w:t xml:space="preserve">constraint in terms of the monomer-micelle equilibrium reduces </w:t>
      </w:r>
      <m:oMath>
        <m:r>
          <w:rPr>
            <w:rFonts w:ascii="Cambria Math" w:hAnsi="Cambria Math"/>
            <w:lang w:val="en-CA"/>
          </w:rPr>
          <m:t>F=4</m:t>
        </m:r>
      </m:oMath>
      <w:r w:rsidR="00D8794C" w:rsidRPr="00EC5244">
        <w:rPr>
          <w:lang w:val="en-CA"/>
        </w:rPr>
        <w:t xml:space="preserve">. This, under constant temperature, guarantees three more independent variables, leading to the independent determination of three KB integrals out of four that involve the solute. </w:t>
      </w:r>
      <w:r w:rsidR="00C4181C" w:rsidRPr="00EC5244">
        <w:rPr>
          <w:lang w:val="en-CA"/>
        </w:rPr>
        <w:t xml:space="preserve">Note that the number of independent KB integrals involving solute is unchanged by the presence of micellar equilibrium from Section 5.1. </w:t>
      </w:r>
      <w:r w:rsidR="0053425B" w:rsidRPr="00EC5244">
        <w:rPr>
          <w:lang w:val="en-CA"/>
        </w:rPr>
        <w:t xml:space="preserve">The following two options are especially useful. </w:t>
      </w:r>
    </w:p>
    <w:p w14:paraId="0A4DEFC9" w14:textId="77777777" w:rsidR="0053425B" w:rsidRPr="00EC5244" w:rsidRDefault="0053425B" w:rsidP="005B0131">
      <w:pPr>
        <w:pStyle w:val="TAMainText"/>
        <w:ind w:firstLine="0"/>
        <w:rPr>
          <w:lang w:val="en-CA"/>
        </w:rPr>
      </w:pPr>
    </w:p>
    <w:p w14:paraId="4DAE0FF2" w14:textId="55CA3FDC" w:rsidR="000F5FCD" w:rsidRPr="00EC5244" w:rsidRDefault="0053425B" w:rsidP="0053425B">
      <w:pPr>
        <w:pStyle w:val="TAMainText"/>
        <w:rPr>
          <w:lang w:val="en-CA"/>
        </w:rPr>
      </w:pPr>
      <w:r w:rsidRPr="00EC5244">
        <w:rPr>
          <w:b/>
          <w:lang w:val="en-CA"/>
        </w:rPr>
        <w:t>KBIs relative to solute-solute.</w:t>
      </w:r>
      <w:r w:rsidRPr="00EC5244">
        <w:rPr>
          <w:lang w:val="en-CA"/>
        </w:rPr>
        <w:t xml:space="preserve"> T</w:t>
      </w:r>
      <w:r w:rsidR="00776FFF" w:rsidRPr="00EC5244">
        <w:rPr>
          <w:lang w:val="en-CA"/>
        </w:rPr>
        <w:t>hree KB integrals are fundamentally determinable relative to the one chosen as the reference.</w:t>
      </w:r>
      <w:r w:rsidR="00392F53" w:rsidRPr="00EC5244">
        <w:t xml:space="preserve"> When the solute-solute KBI is taken as the reference, the solute-water, solute-monomer, and solute-micelle KBIs can be determined as the differences from the solute-solute KBI. This is in strong contrast to the arguments in the first paragraph of section 4.1. The contrast is only apparent, however. At finite concentration, one can define the solute-solute KBI and can use it as a reference, whereas with a single solute fixed at the origin of the system, the “solute concentration” does not exist as a controllable variable and </w:t>
      </w:r>
      <w:r w:rsidR="00392F53" w:rsidRPr="00EC5244">
        <w:rPr>
          <w:i/>
        </w:rPr>
        <w:t>F</w:t>
      </w:r>
      <w:r w:rsidR="006D3CF7" w:rsidRPr="00EC5244">
        <w:t xml:space="preserve"> de</w:t>
      </w:r>
      <w:r w:rsidR="00392F53" w:rsidRPr="00EC5244">
        <w:t>creases by one.</w:t>
      </w:r>
      <w:r w:rsidR="006D3CF7" w:rsidRPr="00EC5244">
        <w:rPr>
          <w:color w:val="FF0000"/>
        </w:rPr>
        <w:t xml:space="preserve"> </w:t>
      </w:r>
      <w:r w:rsidR="000F5FCD" w:rsidRPr="00EC5244">
        <w:rPr>
          <w:lang w:val="en-CA"/>
        </w:rPr>
        <w:t xml:space="preserve">The monomer-micelle equilibrium condition </w:t>
      </w:r>
      <w:r w:rsidR="005B0131" w:rsidRPr="00EC5244">
        <w:rPr>
          <w:lang w:val="en-CA"/>
        </w:rPr>
        <w:t xml:space="preserve">thus </w:t>
      </w:r>
      <w:r w:rsidR="000F5FCD" w:rsidRPr="00EC5244">
        <w:rPr>
          <w:lang w:val="en-CA"/>
        </w:rPr>
        <w:t xml:space="preserve">reduces the rank of the A and B matrices by one, but the inversion procedure (Eqs. (11)-(13)) is still applicable to this system. </w:t>
      </w:r>
    </w:p>
    <w:p w14:paraId="30D2A6D9" w14:textId="402A92E1" w:rsidR="00164C2C" w:rsidRPr="00EC5244" w:rsidRDefault="00164C2C" w:rsidP="005B0131">
      <w:pPr>
        <w:pStyle w:val="TAMainText"/>
        <w:ind w:firstLine="0"/>
        <w:rPr>
          <w:lang w:val="en-CA"/>
        </w:rPr>
      </w:pPr>
    </w:p>
    <w:p w14:paraId="09DFDAAD" w14:textId="037AC413" w:rsidR="00164C2C" w:rsidRPr="00EC5244" w:rsidRDefault="0053425B" w:rsidP="0053425B">
      <w:pPr>
        <w:pStyle w:val="TAMainText"/>
      </w:pPr>
      <w:r w:rsidRPr="00EC5244">
        <w:rPr>
          <w:b/>
        </w:rPr>
        <w:t>Implicit treatment of micelle formation.</w:t>
      </w:r>
      <w:r w:rsidRPr="00EC5244">
        <w:t xml:space="preserve"> Instead of considering micelle as an additional species in the solution, it is possible to treat the solution as a three-component system (water, surfactant and solute) by considering micelle formation in terms of </w:t>
      </w:r>
      <m:oMath>
        <m:sSub>
          <m:sSubPr>
            <m:ctrlPr>
              <w:rPr>
                <w:rFonts w:ascii="Cambria Math" w:hAnsi="Cambria Math"/>
                <w:i/>
              </w:rPr>
            </m:ctrlPr>
          </m:sSubPr>
          <m:e>
            <m:r>
              <w:rPr>
                <w:rFonts w:ascii="Cambria Math" w:hAnsi="Cambria Math"/>
              </w:rPr>
              <m:t>G</m:t>
            </m:r>
          </m:e>
          <m:sub>
            <m:r>
              <w:rPr>
                <w:rFonts w:ascii="Cambria Math" w:hAnsi="Cambria Math"/>
              </w:rPr>
              <m:t>22</m:t>
            </m:r>
          </m:sub>
        </m:sSub>
      </m:oMath>
      <w:r w:rsidRPr="00EC5244">
        <w:t xml:space="preserve"> instead of adopting stoichiometric equilibrium and the aggregation number </w:t>
      </w:r>
      <m:oMath>
        <m:r>
          <w:rPr>
            <w:rFonts w:ascii="Cambria Math" w:hAnsi="Cambria Math"/>
          </w:rPr>
          <m:t>m</m:t>
        </m:r>
      </m:oMath>
      <w:r w:rsidRPr="00EC5244">
        <w:t xml:space="preserve"> in the ad-hoc manner, as has been done earlier in this section. Hence the KB-based approach presented in Sections 3.1 and 5.1 are still applicable to micellar solutions. This approach is especially useful when the self-association or pre-clustering in the solution cannot be dealt with under the assumption of mono-dispersity. Indeed, the </w:t>
      </w:r>
      <w:r w:rsidR="00164C2C" w:rsidRPr="00EC5244">
        <w:t xml:space="preserve">presence of solutes in solution can drastically affect the </w:t>
      </w:r>
      <w:r w:rsidR="00B21683" w:rsidRPr="00EC5244">
        <w:t xml:space="preserve">critical </w:t>
      </w:r>
      <w:r w:rsidR="00164C2C" w:rsidRPr="00EC5244">
        <w:t>micelle concentration</w:t>
      </w:r>
      <w:r w:rsidRPr="00EC5244">
        <w:t xml:space="preserve"> </w:t>
      </w:r>
      <w:r w:rsidR="00164C2C" w:rsidRPr="00EC5244">
        <w:t>and the aggregation number.</w:t>
      </w:r>
      <w:r w:rsidR="00164C2C" w:rsidRPr="00EC5244">
        <w:fldChar w:fldCharType="begin" w:fldLock="1"/>
      </w:r>
      <w:r w:rsidR="001335E9" w:rsidRPr="00EC5244">
        <w:instrText>ADDIN CSL_CITATION { "citationItems" : [ { "id" : "ITEM-1", "itemData" : { "ISBN" : "0824790995", "abstract" : "Literaturangaben", "author" : [ { "dropping-particle" : "", "family" : "Ward", "given" : "T J", "non-dropping-particle" : "", "parse-names" : false, "suffix" : "" }, { "dropping-particle" : "", "family" : "Ward", "given" : "K D", "non-dropping-particle" : "", "parse-names" : false, "suffix" : "" } ], "container-title" : "Solubilization in surfactant aggregates", "editor" : [ { "dropping-particle" : "", "family" : "Christian", "given" : "Sherril Duane", "non-dropping-particle" : "", "parse-names" : false, "suffix" : "" }, { "dropping-particle" : "", "family" : "Scamehorn", "given" : "J F", "non-dropping-particle" : "", "parse-names" : false, "suffix" : "" } ], "id" : "ITEM-1", "issued" : { "date-parts" : [ [ "1995" ] ] }, "page" : "518-540", "publisher" : "Marcel Dekker", "publisher-place" : "New York", "title" : "Solubilization in micellar separations.", "type" : "chapter" }, "uris" : [ "http://www.mendeley.com/documents/?uuid=d2162ac4-2c33-352b-89a4-af193f854db5" ] }, { "id" : "ITEM-2", "itemData" : { "DOI" : "10.1021/acs.langmuir.6b00477", "ISSN" : "0743-7463", "abstract" : "Taking advantage of the extremely high dependence of surface tension on the concentration of amphiphilic molecules in aqueous solution, a new model based on the double equilibrium between free and aggregated molecules in the liquid phase and between free molecules in the liquid phase and those adsorbed at the air/liquid interface is presented and validated using literature data and fluorescence measurements. A key point of the model is the use of both the Langmuir isotherm and the Gibbs adsorption equation in terms of free molecules instead of the nominal concentration of the solute. The application of the model should be limited to non ionic compounds since it does not consider the presence of counterions. It requires several coupled nonlinear fittings for which we developed a software that is publicly available in our server as a web application. Using this tool, it is straightforward to get the average aggregation number of an amphiphile, the micellization free energy, the adsorption constant, the maxi...", "author" : [ { "dropping-particle" : "", "family" : "Garrido", "given" : "Pablo F.", "non-dropping-particle" : "", "parse-names" : false, "suffix" : "" }, { "dropping-particle" : "", "family" : "Brocos", "given" : "Pilar", "non-dropping-particle" : "", "parse-names" : false, "suffix" : "" }, { "dropping-particle" : "", "family" : "Amigo", "given" : "Alfredo", "non-dropping-particle" : "", "parse-names" : false, "suffix" : "" }, { "dropping-particle" : "", "family" : "Garc\u00eda-R\u00edo", "given" : "Luis", "non-dropping-particle" : "", "parse-names" : false, "suffix" : "" }, { "dropping-particle" : "", "family" : "Gracia-Fadrique", "given" : "Jes\u00fas", "non-dropping-particle" : "", "parse-names" : false, "suffix" : "" }, { "dropping-particle" : "", "family" : "Pi\u00f1eiro", "given" : "\u00c1ngel", "non-dropping-particle" : "", "parse-names" : false, "suffix" : "" } ], "container-title" : "Langmuir", "id" : "ITEM-2", "issue" : "16", "issued" : { "date-parts" : [ [ "2016", "4", "26" ] ] }, "page" : "3917-3925", "publisher" : "American Chemical Society", "title" : "STAND: Surface Tension for Aggregation Number Determination", "type" : "article-journal", "volume" : "32" }, "uris" : [ "http://www.mendeley.com/documents/?uuid=cedf4130-f76d-34c7-9934-de03092bb4a4" ] } ], "mendeley" : { "formattedCitation" : "&lt;sup&gt;53,54&lt;/sup&gt;", "plainTextFormattedCitation" : "53,54", "previouslyFormattedCitation" : "&lt;sup&gt;53,54&lt;/sup&gt;" }, "properties" : { "noteIndex" : 0 }, "schema" : "https://github.com/citation-style-language/schema/raw/master/csl-citation.json" }</w:instrText>
      </w:r>
      <w:r w:rsidR="00164C2C" w:rsidRPr="00EC5244">
        <w:fldChar w:fldCharType="separate"/>
      </w:r>
      <w:r w:rsidR="001335E9" w:rsidRPr="00EC5244">
        <w:rPr>
          <w:noProof/>
          <w:vertAlign w:val="superscript"/>
        </w:rPr>
        <w:t>53,54</w:t>
      </w:r>
      <w:r w:rsidR="00164C2C" w:rsidRPr="00EC5244">
        <w:fldChar w:fldCharType="end"/>
      </w:r>
      <w:r w:rsidR="00164C2C" w:rsidRPr="00EC5244">
        <w:t xml:space="preserve"> </w:t>
      </w:r>
      <w:r w:rsidRPr="00EC5244">
        <w:t xml:space="preserve">We shall demonstrate the explanatory power of this approach in the following. </w:t>
      </w:r>
    </w:p>
    <w:p w14:paraId="1F2260AA" w14:textId="40076BA2" w:rsidR="00164C2C" w:rsidRPr="00EC5244" w:rsidRDefault="00164C2C" w:rsidP="005B0131">
      <w:pPr>
        <w:pStyle w:val="TAMainText"/>
        <w:ind w:firstLine="0"/>
        <w:rPr>
          <w:lang w:val="en-CA"/>
        </w:rPr>
      </w:pPr>
    </w:p>
    <w:p w14:paraId="4085C92D" w14:textId="40B4FC15" w:rsidR="00AA7E5C" w:rsidRPr="00EC5244" w:rsidRDefault="006F588C" w:rsidP="00AA7E5C">
      <w:pPr>
        <w:pStyle w:val="TAMainText"/>
        <w:ind w:firstLine="0"/>
        <w:rPr>
          <w:b/>
          <w:lang w:val="en-CA"/>
        </w:rPr>
      </w:pPr>
      <w:r w:rsidRPr="00EC5244">
        <w:rPr>
          <w:b/>
          <w:lang w:val="en-CA"/>
        </w:rPr>
        <w:t>5</w:t>
      </w:r>
      <w:r w:rsidR="003F7247" w:rsidRPr="00EC5244">
        <w:rPr>
          <w:b/>
          <w:lang w:val="en-CA"/>
        </w:rPr>
        <w:t xml:space="preserve">.4. </w:t>
      </w:r>
      <w:r w:rsidR="00AA7E5C" w:rsidRPr="00EC5244">
        <w:rPr>
          <w:b/>
          <w:lang w:val="en-CA"/>
        </w:rPr>
        <w:t xml:space="preserve">Effect of </w:t>
      </w:r>
      <w:r w:rsidR="003F7247" w:rsidRPr="00EC5244">
        <w:rPr>
          <w:b/>
          <w:lang w:val="en-CA"/>
        </w:rPr>
        <w:t xml:space="preserve">mesoscale </w:t>
      </w:r>
      <w:r w:rsidR="00AA7E5C" w:rsidRPr="00EC5244">
        <w:rPr>
          <w:b/>
          <w:lang w:val="en-CA"/>
        </w:rPr>
        <w:t>pre-clustering on solubilization</w:t>
      </w:r>
    </w:p>
    <w:p w14:paraId="1B036CEF" w14:textId="77777777" w:rsidR="00AA7E5C" w:rsidRPr="00EC5244" w:rsidRDefault="00AA7E5C" w:rsidP="00AA7E5C">
      <w:pPr>
        <w:pStyle w:val="TAMainText"/>
        <w:ind w:firstLine="0"/>
        <w:rPr>
          <w:lang w:val="en-CA"/>
        </w:rPr>
      </w:pPr>
    </w:p>
    <w:p w14:paraId="3181CC68" w14:textId="17E5F130" w:rsidR="00171757" w:rsidRPr="00EC5244" w:rsidRDefault="00E90C50" w:rsidP="000C6FBF">
      <w:pPr>
        <w:pStyle w:val="TAMainText"/>
        <w:ind w:firstLine="0"/>
        <w:rPr>
          <w:lang w:val="en-CA"/>
        </w:rPr>
      </w:pPr>
      <w:r w:rsidRPr="00EC5244">
        <w:rPr>
          <w:lang w:val="en-CA"/>
        </w:rPr>
        <w:t xml:space="preserve">Let us again consider a three-component mixture consisting of water, hydrotrope and solute. </w:t>
      </w:r>
      <w:r w:rsidR="00EC21B8" w:rsidRPr="00EC5244">
        <w:rPr>
          <w:lang w:val="en-CA"/>
        </w:rPr>
        <w:t>Some hydrotropes, such as tert-butyl alcohol,</w:t>
      </w:r>
      <w:r w:rsidR="00D63CEF" w:rsidRPr="00EC5244">
        <w:rPr>
          <w:lang w:val="en-CA"/>
        </w:rPr>
        <w:fldChar w:fldCharType="begin" w:fldLock="1"/>
      </w:r>
      <w:r w:rsidR="00D63CEF" w:rsidRPr="00EC5244">
        <w:rPr>
          <w:lang w:val="en-CA"/>
        </w:rPr>
        <w:instrText>ADDIN CSL_CITATION { "citationItems" : [ { "id" : "ITEM-1", "itemData" : { "DOI" : "10.1039/C6CP06696H", "ISSN" : "1463-9076", "abstract" : "In the present contribution, the pre-structuring of binary mixtures of hydrotropes and H2O is linked to the solubilisation of poorly water miscible compounds. We have chosen a series of short-chain alcohols as hydrotropes and benzyl alcohol, limonene and a hydrophobic azo-dye (Disperse Red 13) as organic compounds to be dissolved. A very weak pre-structuring is found for ethanol/H2O and 2-propanol/H2O mixtures. Pre-structuring is most developed for binary 1-propanol/H2O and tert-butanol/H2O mixtures and supports the bicontinuity model of alcohol-rich and water-rich domains as already postulated by Anisimov et al. Such a pre-structuring leads to a high solubilisation power for poorly water miscible components (limonene and Disperse Red, characterized by high octanol/water partition coefficients, log(P) values of 4.5 and 4.85), whereas a very weak pre-structuring leads to a high solubilisation power for slightly water miscible components (benzyl alcohol). This difference in solubilisation power can be linked to (i) the formation of mesoscale structures in the cases of ethanol and 2-propanol and (ii) the extension of pre-structures in the cases of 1-propanol and tert-butanol. Three different solubilisation mechanisms could be identified: bulk solubilisation, interface solubilisation and a combination of both. These supramolecular structures in binary and ternary systems were investigated by small-and-wide-angle X-ray and neutron scattering, dynamic light scattering and conductivity measurements (in the presence of small amounts of salt).", "author" : [ { "dropping-particle" : "", "family" : "Buchecker", "given" : "Thomas", "non-dropping-particle" : "", "parse-names" : false, "suffix" : "" }, { "dropping-particle" : "", "family" : "Krickl", "given" : "Sebastian", "non-dropping-particle" : "", "parse-names" : false, "suffix" : "" }, { "dropping-particle" : "", "family" : "Winkler", "given" : "Robert", "non-dropping-particle" : "", "parse-names" : false, "suffix" : "" }, { "dropping-particle" : "", "family" : "Grillo", "given" : "Isabelle", "non-dropping-particle" : "", "parse-names" : false, "suffix" : "" }, { "dropping-particle" : "", "family" : "Bauduin", "given" : "Pierre", "non-dropping-particle" : "", "parse-names" : false, "suffix" : "" }, { "dropping-particle" : "", "family" : "Touraud", "given" : "Didier", "non-dropping-particle" : "", "parse-names" : false, "suffix" : "" }, { "dropping-particle" : "", "family" : "Pfitzner", "given" : "Arno", "non-dropping-particle" : "", "parse-names" : false, "suffix" : "" }, { "dropping-particle" : "", "family" : "Kunz", "given" : "Werner", "non-dropping-particle" : "", "parse-names" : false, "suffix" : "" }, { "dropping-particle" : "", "family" : "Cubitt", "given" : "R.", "non-dropping-particle" : "", "parse-names" : false, "suffix" : "" }, { "dropping-particle" : "", "family" : "Marelja", "given" : "S.", "non-dropping-particle" : "", "parse-names" : false, "suffix" : "" }, { "dropping-particle" : "", "family" : "Kunz", "given" : "W.", "non-dropping-particle" : "", "parse-names" : false, "suffix" : "" } ], "container-title" : "Phys. Chem. Chem. Phys.", "id" : "ITEM-1", "issue" : "3", "issued" : { "date-parts" : [ [ "2017" ] ] }, "page" : "1806-1816", "publisher" : "The Royal Society of Chemistry", "title" : "The impact of the structuring of hydrotropes in water on the mesoscale solubilisation of a third hydrophobic component", "type" : "article-journal", "volume" : "19" }, "uris" : [ "http://www.mendeley.com/documents/?uuid=e46e28c7-f3ae-377d-8317-fe42ef858478" ] } ], "mendeley" : { "formattedCitation" : "&lt;sup&gt;55&lt;/sup&gt;", "plainTextFormattedCitation" : "55", "previouslyFormattedCitation" : "&lt;sup&gt;55&lt;/sup&gt;" }, "properties" : { "noteIndex" : 0 }, "schema" : "https://github.com/citation-style-language/schema/raw/master/csl-citation.json" }</w:instrText>
      </w:r>
      <w:r w:rsidR="00D63CEF" w:rsidRPr="00EC5244">
        <w:rPr>
          <w:lang w:val="en-CA"/>
        </w:rPr>
        <w:fldChar w:fldCharType="separate"/>
      </w:r>
      <w:r w:rsidR="00D63CEF" w:rsidRPr="00EC5244">
        <w:rPr>
          <w:noProof/>
          <w:vertAlign w:val="superscript"/>
          <w:lang w:val="en-CA"/>
        </w:rPr>
        <w:t>55</w:t>
      </w:r>
      <w:r w:rsidR="00D63CEF" w:rsidRPr="00EC5244">
        <w:rPr>
          <w:lang w:val="en-CA"/>
        </w:rPr>
        <w:fldChar w:fldCharType="end"/>
      </w:r>
      <w:r w:rsidR="00EC21B8" w:rsidRPr="00EC5244">
        <w:rPr>
          <w:lang w:val="en-CA"/>
        </w:rPr>
        <w:t xml:space="preserve"> are known to form mesoscale aggregates and droplets when mixed with water, that can be detected by scattering measurements using light, X-ray and neutron. Scattering intensity increase is observed in a region in the pha</w:t>
      </w:r>
      <w:r w:rsidR="00AA7E5C" w:rsidRPr="00EC5244">
        <w:rPr>
          <w:lang w:val="en-CA"/>
        </w:rPr>
        <w:t>se diagram close to de-mixing</w:t>
      </w:r>
      <w:r w:rsidR="00AA7E5C" w:rsidRPr="00EC5244">
        <w:rPr>
          <w:lang w:val="en-CA"/>
        </w:rPr>
        <w:fldChar w:fldCharType="begin" w:fldLock="1"/>
      </w:r>
      <w:r w:rsidR="00D63CEF" w:rsidRPr="00EC5244">
        <w:rPr>
          <w:lang w:val="en-CA"/>
        </w:rPr>
        <w:instrText>ADDIN CSL_CITATION { "citationItems" : [ { "id" : "ITEM-1", "itemData" : { "DOI" : "10.1021/jp2041795", "ISSN" : "1520-6106", "abstract" : "We have resolved a long-standing issue in the discussion on the origin of the mesoscale inhomogeneities observed in aqueous solutions of tertiary butyl alcohol (TBA). We have shown that the formation of stable mesoscale particles (of about 100 nm in size) can be triggered by the addition of trace amounts of propylene oxide (an impurity expected to be present in all commercial samples of TBA) to a solution, which was previously filtered at a low temperature to remove these inhomogeneities. We hypothesize that these particles are aggregates of mixed clathrate-hydrates that are formed through the stabilization of fluctuations of the intrinsic structure in TBA aqueous solutions by the clathrate-forming ability of propylene oxide.", "author" : [ { "dropping-particle" : "", "family" : "Subramanian", "given" : "Deepa", "non-dropping-particle" : "", "parse-names" : false, "suffix" : "" }, { "dropping-particle" : "", "family" : "Anisimov", "given" : "Mikhail A.", "non-dropping-particle" : "", "parse-names" : false, "suffix" : "" } ], "container-title" : "The Journal of Physical Chemistry B", "id" : "ITEM-1", "issue" : "29", "issued" : { "date-parts" : [ [ "2011", "7", "28" ] ] }, "page" : "9179-9183", "publisher" : "American Chemical Society", "title" : "Resolving the Mystery of Aqueous Solutions of Tertiary Butyl Alcohol", "type" : "article-journal", "volume" : "115" }, "uris" : [ "http://www.mendeley.com/documents/?uuid=e35c491f-e526-37be-a096-be3ce1a09ba3" ] }, { "id" : "ITEM-2", "itemData" : { "DOI" : "10.1039/C3FD00070B", "ISBN" : "1359-6640", "ISSN" : "1359-6640", "abstract" : "Small amphiphilic molecules, also known as hydrotropes, are too small to form micelles in aqueous solutions. However, aqueous solutions of nonionic hydrotropes show the presence of a dynamic, loose, non-covalent clustering in the water-rich region. This clustering can be viewed as \"micelle-like structural fluctuations\". Although these fluctuations are short ranged ([similar]1 nm) and short lived (10 ps-50 ps), they may lead to thermodynamic anomalies. In addition, many experiments on aqueous solutions of hydrotropes show the occasional presence of mesoscale ([similar]100 nm) inhomogeneities. We have combined results obtained from molecular dynamics simulations, small-angle neutron scattering, and dynamic light-scattering experiments carried out on tertiary butyl alcohol (hydrotrope)-water solutions and on tertiary butyl alcohol-water-cyclohexane (hydrophobe) solutions to elucidate the nature and structure of these inhomogeneities. We have shown that stable mesoscale inhomogeneities occur in aqueous solutions of nonionic hydrotropes only when the solution contains a third, more hydrophobic, component. Moreover, these inhomogeneities exist in ternary systems only in the concentration range where structural fluctuations and thermodynamic anomalies are observed in the binary water-hydrotrope solutions. Addition of a hydrophobe seems to stabilize the water-hydrotrope structural fluctuations, and leads to the formation of larger (mesoscopic) droplets. The structure of these mesoscopic droplets is such that they have a hydrophobe-rich core, surrounded by a hydrogen-bonded shell of water and hydrotrope molecules. These droplets can be extremely long-lived, being stable for over a year. We refer to the phenomenon of formation of mesoscopic droplets in aqueous solutions of nonionic hydrotropes containing hydrophobes, as mesoscale solubilization. This phenomenon may represent a ubiquitous feature of nonionic hydrotropes that exhibit clustering in water, and may have important practical applications in areas, such as drug delivery, where the replacement of traditional surfactants may be necessary.", "author" : [ { "dropping-particle" : "", "family" : "Subramanian", "given" : "Deepa", "non-dropping-particle" : "", "parse-names" : false, "suffix" : "" }, { "dropping-particle" : "", "family" : "Boughter", "given" : "Christopher T", "non-dropping-particle" : "", "parse-names" : false, "suffix" : "" }, { "dropping-particle" : "", "family" : "Klauda", "given" : "Jeffery B", "non-dropping-particle" : "", "parse-names" : false, "suffix" : "" }, { "dropping-particle" : "", "family" : "Hammouda", "given" : "Boualem", "non-dropping-particle" : "", "parse-names" : false, "suffix" : "" }, { "dropping-particle" : "", "family" : "Anisimov", "given" : "Mikhail a", "non-dropping-particle" : "", "parse-names" : false, "suffix" : "" } ], "container-title" : "Faraday Discussions", "id" : "ITEM-2", "issue" : "0", "issued" : { "date-parts" : [ [ "2013" ] ] }, "page" : "217-238", "title" : "Mesoscale inhomogeneities in aqueous solutions of small amphiphilic molecules", "type" : "article-journal", "volume" : "167" }, "uris" : [ "http://www.mendeley.com/documents/?uuid=bb6973ca-a622-4eb4-8c29-e6c0a6bae19d" ] }, { "id" : "ITEM-3", "itemData" : { "DOI" : "10.1021/jp4125183", "ISSN" : "15205207", "PMID" : "24823321", "abstract" : "The phase behavior and mesoscopic inhomogeneities in the ternary system of tertiary butyl alcohol (TBA), water, and propylene oxide (PO) have been studied by static and dynamic light scattering, gas chromatography, mass spectrometry, and molecular dynamics simulations. Mesoscale inhomogeneities are observed in this system in a broad range of PO concentrations, from 0.02 to about 65 mass %, and at certain TBA/water mass ratios varying from about 3/97 to about 30/70. This TBA/water composition domain corresponds to a region where short-lived micelle-like molecular clustering and thermodynamic anomalies are observed in the TBA-water binary system. At dilute PO concentrations (0.02 to about 1 mass %) the mesoscale inhomogeneities are Brownian diffusive droplets, with a size of the order of a hundred nanometers. We hypothesize that these droplets have a hydrophobic core enriched by oily impurities and oligomerized PO molecules. A hydrogen-bonded layer of TBA, water, and PO molecules surrounds this hydrophobic core. At high PO concentrations (beyond 50 mass %), the interfacial curvature of the mesoscopic inhomogeneities changes its sign and the exteriors of these inhomogeneities become hydrophobic. The inversion of the internal curvature may result in the formation of a spongelike bicontinuous mesoscale structure at intermediate PO concentrations. This mesostructure appears to be at a nonequilibrium state, although extremely long-lived.", "author" : [ { "dropping-particle" : "", "family" : "Subramanian", "given" : "Deepa", "non-dropping-particle" : "", "parse-names" : false, "suffix" : "" }, { "dropping-particle" : "", "family" : "Klauda", "given" : "Jeffery B.", "non-dropping-particle" : "", "parse-names" : false, "suffix" : "" }, { "dropping-particle" : "", "family" : "Collings", "given" : "Peter J.", "non-dropping-particle" : "", "parse-names" : false, "suffix" : "" }, { "dropping-particle" : "", "family" : "Anisimov", "given" : "Mikhail A.", "non-dropping-particle" : "", "parse-names" : false, "suffix" : "" } ], "container-title" : "Journal of Physical Chemistry B", "id" : "ITEM-3", "issue" : "22", "issued" : { "date-parts" : [ [ "2014" ] ] }, "page" : "5994-6006", "title" : "Mesoscale phenomena in ternary solutions of tertiary butyl alcohol, water, and propylene oxide", "type" : "article-journal", "volume" : "118" }, "uris" : [ "http://www.mendeley.com/documents/?uuid=47a95caa-9185-42c5-b3fa-37974f78019f" ] }, { "id" : "ITEM-4",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"ITEM-4", "issued" : { "date-parts" : [ [ "2016" ] ] }, "page" : "8-13", "publisher" : "Elsevier Ltd", "title" : "Aggregation in detergent-free ternary mixtures with microemulsion-like properties", "type" : "article-journal", "volume" : "22" }, "uris" : [ "http://www.mendeley.com/documents/?uuid=8b428efd-3a4c-4ab1-8a7f-cc337bceb4d7" ] } ], "mendeley" : { "formattedCitation" : "&lt;sup&gt;56\u201359&lt;/sup&gt;", "plainTextFormattedCitation" : "56\u201359", "previouslyFormattedCitation" : "&lt;sup&gt;56\u201359&lt;/sup&gt;" }, "properties" : { "noteIndex" : 0 }, "schema" : "https://github.com/citation-style-language/schema/raw/master/csl-citation.json" }</w:instrText>
      </w:r>
      <w:r w:rsidR="00AA7E5C" w:rsidRPr="00EC5244">
        <w:rPr>
          <w:lang w:val="en-CA"/>
        </w:rPr>
        <w:fldChar w:fldCharType="separate"/>
      </w:r>
      <w:r w:rsidR="00D63CEF" w:rsidRPr="00EC5244">
        <w:rPr>
          <w:noProof/>
          <w:vertAlign w:val="superscript"/>
          <w:lang w:val="en-CA"/>
        </w:rPr>
        <w:t>56–59</w:t>
      </w:r>
      <w:r w:rsidR="00AA7E5C" w:rsidRPr="00EC5244">
        <w:rPr>
          <w:lang w:val="en-CA"/>
        </w:rPr>
        <w:fldChar w:fldCharType="end"/>
      </w:r>
      <w:r w:rsidR="00D15A20" w:rsidRPr="00EC5244">
        <w:rPr>
          <w:lang w:val="en-CA"/>
        </w:rPr>
        <w:t xml:space="preserve"> but the </w:t>
      </w:r>
      <w:r w:rsidR="00EC21B8" w:rsidRPr="00EC5244">
        <w:rPr>
          <w:lang w:val="en-CA"/>
        </w:rPr>
        <w:t>general consensus is that this fluctuat</w:t>
      </w:r>
      <w:r w:rsidR="00AA7E5C" w:rsidRPr="00EC5244">
        <w:rPr>
          <w:lang w:val="en-CA"/>
        </w:rPr>
        <w:t>ion, corresponding to mesoscale</w:t>
      </w:r>
      <w:r w:rsidR="00EC21B8" w:rsidRPr="00EC5244">
        <w:rPr>
          <w:lang w:val="en-CA"/>
        </w:rPr>
        <w:t xml:space="preserve"> aggregation</w:t>
      </w:r>
      <w:r w:rsidR="00AA7E5C" w:rsidRPr="00EC5244">
        <w:rPr>
          <w:lang w:val="en-CA"/>
        </w:rPr>
        <w:t xml:space="preserve"> or “bicontinuous phase”</w:t>
      </w:r>
      <w:r w:rsidR="00EC21B8" w:rsidRPr="00EC5244">
        <w:rPr>
          <w:lang w:val="en-CA"/>
        </w:rPr>
        <w:t>, is distinct from critical density fluctuations.</w:t>
      </w:r>
      <w:r w:rsidR="00AD68C8" w:rsidRPr="00EC5244">
        <w:rPr>
          <w:lang w:val="en-CA"/>
        </w:rPr>
        <w:fldChar w:fldCharType="begin" w:fldLock="1"/>
      </w:r>
      <w:r w:rsidR="00D63CEF" w:rsidRPr="00EC5244">
        <w:rPr>
          <w:lang w:val="en-CA"/>
        </w:rPr>
        <w:instrText>ADDIN CSL_CITATION { "citationItems" : [ { "id" : "ITEM-1",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"ITEM-1", "issued" : { "date-parts" : [ [ "2016" ] ] }, "page" : "8-13", "publisher" : "Elsevier Ltd", "title" : "Aggregation in detergent-free ternary mixtures with microemulsion-like properties", "type" : "article-journal", "volume" : "22" }, "uris" : [ "http://www.mendeley.com/documents/?uuid=8b428efd-3a4c-4ab1-8a7f-cc337bceb4d7" ] }, { "id" : "ITEM-2",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"ITEM-2", "issue" : "8", "issued" : { "date-parts" : [ [ "2014" ] ] }, "page" : "2909-3340", "title" : "Emergence of surfactant-free micelles from ternary solutions", "type" : "article-journal", "volume" : "5" }, "uris" : [ "http://www.mendeley.com/documents/?uuid=f5865d9c-ccb8-46bb-bcb1-2f7942864abd" ] } ], "mendeley" : { "formattedCitation" : "&lt;sup&gt;59,60&lt;/sup&gt;", "plainTextFormattedCitation" : "59,60", "previouslyFormattedCitation" : "&lt;sup&gt;59,60&lt;/sup&gt;" }, "properties" : { "noteIndex" : 0 }, "schema" : "https://github.com/citation-style-language/schema/raw/master/csl-citation.json" }</w:instrText>
      </w:r>
      <w:r w:rsidR="00AD68C8" w:rsidRPr="00EC5244">
        <w:rPr>
          <w:lang w:val="en-CA"/>
        </w:rPr>
        <w:fldChar w:fldCharType="separate"/>
      </w:r>
      <w:r w:rsidR="00D63CEF" w:rsidRPr="00EC5244">
        <w:rPr>
          <w:noProof/>
          <w:vertAlign w:val="superscript"/>
          <w:lang w:val="en-CA"/>
        </w:rPr>
        <w:t>59,60</w:t>
      </w:r>
      <w:r w:rsidR="00AD68C8" w:rsidRPr="00EC5244">
        <w:rPr>
          <w:lang w:val="en-CA"/>
        </w:rPr>
        <w:fldChar w:fldCharType="end"/>
      </w:r>
      <w:r w:rsidR="00AD68C8" w:rsidRPr="00EC5244">
        <w:rPr>
          <w:lang w:val="en-CA"/>
        </w:rPr>
        <w:t xml:space="preserve"> </w:t>
      </w:r>
      <w:r w:rsidRPr="00EC5244">
        <w:rPr>
          <w:lang w:val="en-CA"/>
        </w:rPr>
        <w:t>The difference from Section 5.3 is that hydrotropes can form mesoscale structuring much larger than micelles and hence applying stoichiometry to model aggregation is not a good idea.</w:t>
      </w:r>
      <w:r w:rsidR="00EC21B8" w:rsidRPr="00EC5244">
        <w:rPr>
          <w:lang w:val="en-CA"/>
        </w:rPr>
        <w:t xml:space="preserve"> </w:t>
      </w:r>
      <w:r w:rsidRPr="00EC5244">
        <w:rPr>
          <w:lang w:val="en-CA"/>
        </w:rPr>
        <w:t>Nevertheless, t</w:t>
      </w:r>
      <w:r w:rsidR="002F7F91" w:rsidRPr="00EC5244">
        <w:rPr>
          <w:lang w:val="en-CA"/>
        </w:rPr>
        <w:t xml:space="preserve">he </w:t>
      </w:r>
      <w:r w:rsidR="00AD68C8" w:rsidRPr="00EC5244">
        <w:rPr>
          <w:lang w:val="en-CA"/>
        </w:rPr>
        <w:t xml:space="preserve">system is still in a </w:t>
      </w:r>
      <w:r w:rsidR="00B10878" w:rsidRPr="00EC5244">
        <w:rPr>
          <w:lang w:val="en-CA"/>
        </w:rPr>
        <w:t>single</w:t>
      </w:r>
      <w:r w:rsidR="00AD68C8" w:rsidRPr="00EC5244">
        <w:rPr>
          <w:lang w:val="en-CA"/>
        </w:rPr>
        <w:t xml:space="preserve"> </w:t>
      </w:r>
      <w:r w:rsidR="002F7F91" w:rsidRPr="00EC5244">
        <w:rPr>
          <w:lang w:val="en-CA"/>
        </w:rPr>
        <w:t>macroscopic</w:t>
      </w:r>
      <w:r w:rsidR="00AD68C8" w:rsidRPr="00EC5244">
        <w:rPr>
          <w:lang w:val="en-CA"/>
        </w:rPr>
        <w:t xml:space="preserve"> </w:t>
      </w:r>
      <w:r w:rsidR="00B10878" w:rsidRPr="00EC5244">
        <w:rPr>
          <w:lang w:val="en-CA"/>
        </w:rPr>
        <w:t>phase</w:t>
      </w:r>
      <w:r w:rsidR="00AD68C8" w:rsidRPr="00EC5244">
        <w:rPr>
          <w:lang w:val="en-CA"/>
        </w:rPr>
        <w:t>,</w:t>
      </w:r>
      <w:r w:rsidR="00AD68C8" w:rsidRPr="00EC5244">
        <w:rPr>
          <w:lang w:val="en-CA"/>
        </w:rPr>
        <w:fldChar w:fldCharType="begin" w:fldLock="1"/>
      </w:r>
      <w:r w:rsidR="00D63CEF" w:rsidRPr="00EC5244">
        <w:rPr>
          <w:lang w:val="en-CA"/>
        </w:rPr>
        <w:instrText>ADDIN CSL_CITATION { "citationItems" : [ { "id" : "ITEM-1",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"ITEM-1", "issued" : { "date-parts" : [ [ "2016" ] ] }, "page" : "8-13", "publisher" : "Elsevier Ltd", "title" : "Aggregation in detergent-free ternary mixtures with microemulsion-like properties", "type" : "article-journal", "volume" : "22" }, "uris" : [ "http://www.mendeley.com/documents/?uuid=8b428efd-3a4c-4ab1-8a7f-cc337bceb4d7" ] } ], "mendeley" : { "formattedCitation" : "&lt;sup&gt;59&lt;/sup&gt;", "plainTextFormattedCitation" : "59", "previouslyFormattedCitation" : "&lt;sup&gt;59&lt;/sup&gt;" }, "properties" : { "noteIndex" : 0 }, "schema" : "https://github.com/citation-style-language/schema/raw/master/csl-citation.json" }</w:instrText>
      </w:r>
      <w:r w:rsidR="00AD68C8" w:rsidRPr="00EC5244">
        <w:rPr>
          <w:lang w:val="en-CA"/>
        </w:rPr>
        <w:fldChar w:fldCharType="separate"/>
      </w:r>
      <w:r w:rsidR="00D63CEF" w:rsidRPr="00EC5244">
        <w:rPr>
          <w:noProof/>
          <w:vertAlign w:val="superscript"/>
          <w:lang w:val="en-CA"/>
        </w:rPr>
        <w:t>59</w:t>
      </w:r>
      <w:r w:rsidR="00AD68C8" w:rsidRPr="00EC5244">
        <w:rPr>
          <w:lang w:val="en-CA"/>
        </w:rPr>
        <w:fldChar w:fldCharType="end"/>
      </w:r>
      <w:r w:rsidR="00B10878" w:rsidRPr="00EC5244">
        <w:rPr>
          <w:lang w:val="en-CA"/>
        </w:rPr>
        <w:t xml:space="preserve"> </w:t>
      </w:r>
      <w:r w:rsidR="00AD68C8" w:rsidRPr="00EC5244">
        <w:rPr>
          <w:lang w:val="en-CA"/>
        </w:rPr>
        <w:t xml:space="preserve">and </w:t>
      </w:r>
      <w:r w:rsidR="00EC21B8" w:rsidRPr="00EC5244">
        <w:rPr>
          <w:lang w:val="en-CA"/>
        </w:rPr>
        <w:t>KB theory for ternary mixture (solute, water and hydrotrope)</w:t>
      </w:r>
      <w:r w:rsidRPr="00EC5244">
        <w:rPr>
          <w:lang w:val="en-CA"/>
        </w:rPr>
        <w:t xml:space="preserve"> </w:t>
      </w:r>
      <w:r w:rsidR="00AD68C8" w:rsidRPr="00EC5244">
        <w:rPr>
          <w:lang w:val="en-CA"/>
        </w:rPr>
        <w:t>can be applied</w:t>
      </w:r>
      <w:r w:rsidR="001C05C4" w:rsidRPr="00EC5244">
        <w:rPr>
          <w:lang w:val="en-CA"/>
        </w:rPr>
        <w:t xml:space="preserve"> </w:t>
      </w:r>
      <w:r w:rsidR="00EC21B8" w:rsidRPr="00EC5244">
        <w:rPr>
          <w:lang w:val="en-CA"/>
        </w:rPr>
        <w:t>to clarify the dr</w:t>
      </w:r>
      <w:r w:rsidR="000C6FBF" w:rsidRPr="00EC5244">
        <w:rPr>
          <w:lang w:val="en-CA"/>
        </w:rPr>
        <w:t xml:space="preserve">iving forces for solubilization. </w:t>
      </w:r>
      <w:r w:rsidR="00D63CEF" w:rsidRPr="00EC5244">
        <w:rPr>
          <w:lang w:val="en-CA"/>
        </w:rPr>
        <w:t xml:space="preserve">This is why the same basic mechanism </w:t>
      </w:r>
      <w:r w:rsidR="000C6FBF" w:rsidRPr="00EC5244">
        <w:rPr>
          <w:lang w:val="en-CA"/>
        </w:rPr>
        <w:t>(Eq. (14))</w:t>
      </w:r>
      <w:r w:rsidR="00D63CEF" w:rsidRPr="00EC5244">
        <w:rPr>
          <w:lang w:val="en-CA"/>
        </w:rPr>
        <w:t xml:space="preserve"> still applies here, which are </w:t>
      </w:r>
      <w:r w:rsidR="00EE5F4F" w:rsidRPr="00EC5244">
        <w:rPr>
          <w:lang w:val="en-CA"/>
        </w:rPr>
        <w:t xml:space="preserve"> </w:t>
      </w:r>
    </w:p>
    <w:p w14:paraId="1B91B9A8" w14:textId="5953BEA9" w:rsidR="00171757" w:rsidRPr="00EC5244" w:rsidRDefault="00171757" w:rsidP="00171757">
      <w:pPr>
        <w:pStyle w:val="TAMainText"/>
        <w:numPr>
          <w:ilvl w:val="0"/>
          <w:numId w:val="7"/>
        </w:numPr>
        <w:rPr>
          <w:lang w:val="en-CA"/>
        </w:rPr>
      </w:pPr>
      <w:r w:rsidRPr="00EC5244">
        <w:rPr>
          <w:lang w:val="en-CA"/>
        </w:rPr>
        <w:t xml:space="preserve">Large positive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Pr="00EC5244">
        <w:rPr>
          <w:lang w:val="en-CA"/>
        </w:rPr>
        <w:t xml:space="preserve"> drives solubilization (Eq. (15)).</w:t>
      </w:r>
    </w:p>
    <w:p w14:paraId="5ACFF17B" w14:textId="77777777" w:rsidR="00171757" w:rsidRPr="00EC5244" w:rsidRDefault="00171757" w:rsidP="00171757">
      <w:pPr>
        <w:pStyle w:val="TAMainText"/>
        <w:numPr>
          <w:ilvl w:val="0"/>
          <w:numId w:val="7"/>
        </w:numPr>
        <w:rPr>
          <w:lang w:val="en-CA"/>
        </w:rPr>
      </w:pPr>
      <w:r w:rsidRPr="00EC5244">
        <w:rPr>
          <w:lang w:val="en-CA"/>
        </w:rPr>
        <w:t xml:space="preserve">Pre-clustering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Pr="00EC5244">
        <w:rPr>
          <w:lang w:val="en-CA"/>
        </w:rPr>
        <w:t xml:space="preserve"> which reduces solubilization efficiency (Eq. (16)). </w:t>
      </w:r>
    </w:p>
    <w:p w14:paraId="33E117DA" w14:textId="77D7139D" w:rsidR="00A04BE2" w:rsidRPr="00EC5244" w:rsidRDefault="00FB6A45" w:rsidP="00171757">
      <w:pPr>
        <w:pStyle w:val="TAMainText"/>
        <w:ind w:firstLine="0"/>
        <w:rPr>
          <w:lang w:val="en-CA"/>
        </w:rPr>
      </w:pPr>
      <w:r w:rsidRPr="00EC5244">
        <w:rPr>
          <w:lang w:val="en-CA"/>
        </w:rPr>
        <w:t xml:space="preserve">Here, </w:t>
      </w:r>
    </w:p>
    <w:p w14:paraId="5403A481" w14:textId="20189805" w:rsidR="00171757" w:rsidRPr="00EC5244" w:rsidRDefault="00A04BE2" w:rsidP="00A04BE2">
      <w:pPr>
        <w:pStyle w:val="TAMainText"/>
        <w:rPr>
          <w:lang w:val="en-CA"/>
        </w:rPr>
      </w:pPr>
      <w:r w:rsidRPr="00EC5244">
        <w:rPr>
          <w:b/>
          <w:lang w:val="en-CA"/>
        </w:rPr>
        <w:t xml:space="preserve">Solute-hydrotrope interaction, </w:t>
      </w:r>
      <m:oMath>
        <m:sSub>
          <m:sSubPr>
            <m:ctrlPr>
              <w:rPr>
                <w:rFonts w:ascii="Cambria Math" w:hAnsi="Cambria Math"/>
                <w:b/>
                <w:i/>
                <w:lang w:val="en-CA"/>
              </w:rPr>
            </m:ctrlPr>
          </m:sSubPr>
          <m:e>
            <m:r>
              <m:rPr>
                <m:sty m:val="bi"/>
              </m:rPr>
              <w:rPr>
                <w:rFonts w:ascii="Cambria Math" w:hAnsi="Cambria Math"/>
                <w:lang w:val="en-CA"/>
              </w:rPr>
              <m:t>G</m:t>
            </m:r>
          </m:e>
          <m:sub>
            <m:r>
              <m:rPr>
                <m:sty m:val="bi"/>
              </m:rPr>
              <w:rPr>
                <w:rFonts w:ascii="Cambria Math" w:hAnsi="Cambria Math"/>
                <w:lang w:val="en-CA"/>
              </w:rPr>
              <m:t>u</m:t>
            </m:r>
            <m:r>
              <m:rPr>
                <m:sty m:val="bi"/>
              </m:rPr>
              <w:rPr>
                <w:rFonts w:ascii="Cambria Math" w:hAnsi="Cambria Math"/>
                <w:lang w:val="en-CA"/>
              </w:rPr>
              <m:t>2</m:t>
            </m:r>
          </m:sub>
        </m:sSub>
      </m:oMath>
      <w:r w:rsidRPr="00EC5244">
        <w:rPr>
          <w:b/>
          <w:lang w:val="en-CA"/>
        </w:rPr>
        <w:t>.</w:t>
      </w:r>
      <w:r w:rsidRPr="00EC5244">
        <w:rPr>
          <w:lang w:val="en-CA"/>
        </w:rPr>
        <w:t xml:space="preserve">  </w:t>
      </w:r>
      <w:r w:rsidR="00171757" w:rsidRPr="00EC5244">
        <w:rPr>
          <w:lang w:val="en-CA"/>
        </w:rPr>
        <w:t xml:space="preserve">In </w:t>
      </w:r>
      <w:r w:rsidR="00444FD8" w:rsidRPr="00EC5244">
        <w:rPr>
          <w:lang w:val="en-CA"/>
        </w:rPr>
        <w:t>the case of micellar solubilization</w:t>
      </w:r>
      <w:r w:rsidR="00171757" w:rsidRPr="00EC5244">
        <w:rPr>
          <w:lang w:val="en-CA"/>
        </w:rPr>
        <w:t xml:space="preserve">, </w:t>
      </w:r>
      <w:r w:rsidR="005B26AB" w:rsidRPr="00EC5244">
        <w:rPr>
          <w:lang w:val="en-CA"/>
        </w:rPr>
        <w:t xml:space="preserve">a </w:t>
      </w:r>
      <w:r w:rsidR="00171757" w:rsidRPr="00EC5244">
        <w:rPr>
          <w:lang w:val="en-CA"/>
        </w:rPr>
        <w:t xml:space="preserve">favourable solute-hydrotrope interaction, </w:t>
      </w:r>
      <w:r w:rsidR="005B26AB" w:rsidRPr="00EC5244">
        <w:rPr>
          <w:lang w:val="en-CA"/>
        </w:rPr>
        <w:t xml:space="preserve">signified by a large positive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005B26AB" w:rsidRPr="00EC5244">
        <w:rPr>
          <w:lang w:val="en-CA"/>
        </w:rPr>
        <w:t>, can be caused in a variety of manner, as can be seen from the location of the solute such as (a) incorporated inside the hydrophobic interior of the micelle, (b) embedded in the micellar layer, and (c) bound to the micellar surface.</w:t>
      </w:r>
      <w:r w:rsidR="005B26AB" w:rsidRPr="00EC5244">
        <w:rPr>
          <w:lang w:val="en-CA"/>
        </w:rPr>
        <w:fldChar w:fldCharType="begin" w:fldLock="1"/>
      </w:r>
      <w:r w:rsidR="005B26AB" w:rsidRPr="00EC5244">
        <w:rPr>
          <w:lang w:val="en-CA"/>
        </w:rPr>
        <w:instrText>ADDIN CSL_CITATION { "citationItems" : [ { "id" : "ITEM-1", "itemData" : { "DOI" : "10.1021/jp066926w", "ISSN" : "1520-6106", "PMID" : "17388443", "abstract" : "Water solubility enhancements of polycyclic aromatic hydrocarbons (PAHs), viz., naphthalene, anthracene and pyrene, by micellar solutions at 25 degrees C using two series of surfactants, each involving two cationic and one nonionic surfactant in their single as well as equimolar binary and ternary mixed states, were measured and compared. The first series was composed of three surfactants, benzylhexadecyldimethylammonium chloride (C16BzCl), hexadecyltrimethylammonium bromide (C16Br), and polyoxyethylene(20)mono-n-hexadecyl ether (Brij-58) with a 16-carbon (C16) hydrophobic chain; the second series consisted of dodecyltrimethylammonium bromide (C12Br), dodecylethyldimethylammonium bromide (C12EBr), and polyoxyethylene(4)mono-n-dodecyl ether (Brij-30) with a 12-carbon (C12) chain. Solubilization capacity has been quantified in terms of the molar solubilization ratio, the micelle-water partition coefficient, the first stepwise association constant between solubilizate monomer and vacant micelle, and the average number of solubilizate molecules per micelle, determined employing spectrophoto-, tensio-, and flourimetric techniques. Cationic surfactants exhibited lesser solubilization capacity than nonionics in each series of surfactants with higher efficiency in the C16 series compared to the C12 series. Increase in hydrophobicity of head groups of cationics by incorporation of ethyl or benzyl groups enhanced their solubilization capacity. The mixing effect of surfactants on mixed micelle formation and solubilization efficiency has been discussed in light of the regular solution approximation (RSA). Cationic-nonionic binary combinations showed better solubilization capacity than pure cationics, nonionics, or cationic-cationic mixtures, which, in general, showed increase with increased hydrophobicity of PAHs. Equimolar cationic-cationic-nonionic ternary surfactant systems showed lower solubilization efficiency than their binary cationic-nonionic counterparts but higher than cationic-cationic ones. In addition, use of RSA has been extended, with fair success, to predict partition coefficients of ternary surfactant systems using data of binary surfactants systems. Mixed surfactants may improve the performance of surfactant-enhanced remediation of soils and sediments by decreasing the applied surfactant level and thus remediation cost.", "author" : [ { "dropping-particle" : "", "family" : "Dar", "given" : "Aijaz Ahmad", "non-dropping-particle" : "", "parse-names" : false, "suffix" : "" }, { "dropping-particle" : "", "family" : "Rather", "given" : "Ghulam Mohammad", "non-dropping-particle" : "", "parse-names" : false, "suffix" : "" }, { "dropping-particle" : "", "family" : "Das", "given" : "Akhil Ranjan", "non-dropping-particle" : "", "parse-names" : false, "suffix" : "" } ], "container-title" : "Journal of Physical Chemistry Bhysical chemistry. B", "id" : "ITEM-1", "issue" : "91", "issued" : { "date-parts" : [ [ "2007" ] ] }, "page" : "3122-3132", "title" : "Mixed Micelle Formation and Solubilization Behavior toward Polycyclic Aromatic Hydrocarbons of Binary and Ternary Cationic-Nonionic Surfactant Mixtures", "type" : "article-journal", "volume" : "111" }, "uris" : [ "http://www.mendeley.com/documents/?uuid=b113b83d-8834-4215-8d50-34a5d1cd8c2e" ] }, { "id" : "ITEM-2", "itemData" : { "DOI" : "10.1021/jp807229c", "ISBN" : "1520-6106 (Print)\\r1520-5207 (Linking)", "ISSN" : "15206106", "PMID" : "19123827", "abstract" : "Mixed surfactants may improve the performance of surfactant-enhanced solubilization of drugs and thus can serve as the tool for increased bioavalaibility, controlled drug release, and targeted delivery. Solubilization of Naproxen by micellar solutions at 25 degrees C using single and mixed surfactant systems was measured and compared. Solubilization capacity determined with spectrophotometry and tensiometry has been quantified in terms of molar solubilization ratio, micelle-water partition coefficient, and locus of solubilization. Cationic surfactants exhibited higher solubilization capacity than nonionics and anionics, the efficiency increasing with chain length. Mixing effect of surfactants on mixed micelle formation and solubilization efficiency has been discussed in light of regular solution approximation (RSA). Equimolar cationic-nonionic surfactant combinations showed better solubilization capacity than pure cationics or nonionics, which, in general, increased with increase in hydrophobic chain length. Equimolar cationic-nonionic-nonionic ternary surfactant systems exhibited intermediate solubilization efficiency between their single and binary counterparts. Use of RSA has been extended, with fair success, to predict the partition coefficient of ternary surfactant systems using data from binary mixtures. The theoretical micelle-water partition coefficients calculated from the geometric mean equation compared well with experimental values. Locus of solubilization of NAP in different micellar solutions was probed by UV-visible spectroscopy.", "author" : [ { "dropping-particle" : "", "family" : "Bhat", "given" : "Parvaiz Ahmad", "non-dropping-particle" : "", "parse-names" : false, "suffix" : "" }, { "dropping-particle" : "", "family" : "Rather", "given" : "Ghulam Mohammad", "non-dropping-particle" : "", "parse-names" : false, "suffix" : "" }, { "dropping-particle" : "", "family" : "Dar", "given" : "Aijaz Ahmad", "non-dropping-particle" : "", "parse-names" : false, "suffix" : "" } ], "container-title" : "Journal of Physical Chemistry B", "id" : "ITEM-2", "issue" : "4", "issued" : { "date-parts" : [ [ "2009" ] ] }, "page" : "997-1006", "title" : "Effect of surfactant mixing on partitioning of model hydrophobic drug, Naproxen, between aqueous and micellar phases", "type" : "article-journal", "volume" : "113" }, "uris" : [ "http://www.mendeley.com/documents/?uuid=d84334cf-5cc1-4eb3-aa81-75f74ef04186" ] }, { "id" : "ITEM-3", "itemData" : { "abstract" : "PURPOSE: Micellar solubilization is a pow-erful alternative for dissolving hydrophobic drugs in aqueous environments. In this work, we provide an insight into this subject. METHODS: A concise review of surfactants and micelles applications in phar-macy was carried out. RESULTS: Initially, a descrip-tion of surfactants and aqueous micellar systems is presented. Following, an extensive review on micellar drug solubilization, including both the principles involved on this phenomenon and the work already done regarding solubilization of drugs by micelles is presented. The application of micelles in drug delivery, in order to minimize drug degradation and loss, to pre-vent harmful side effects, and to increase drug bioavail-ability, is also presented. Special emphasis is given to the more recent use of polymeric micelles. Finally, we briefly discuss the importance of surfactants and micelles as biological systems models as well as its application in micellar catalysis. CONCLUSIONS: As can be seen from the review presented, the use of micelles in pharmacy is an important tool that finds numerous applications.", "author" : [ { "dropping-particle" : "", "family" : "Oliveira", "given" : "Carlota", "non-dropping-particle" : "De", "parse-names" : false, "suffix" : "" }, { "dropping-particle" : "", "family" : "Yagui", "given" : "Rangel", "non-dropping-particle" : "", "parse-names" : false, "suffix" : "" }, { "dropping-particle" : "", "family" : "Lineu Prestes", "given" : "Av", "non-dropping-particle" : "", "parse-names" : false, "suffix" : "" }, { "dropping-particle" : "", "family" : "Rangel-Yagui", "given" : "Carlota O", "non-dropping-particle" : "", "parse-names" : false, "suffix" : "" }, { "dropping-particle" : "", "family" : "Pessoa-Jr", "given" : "Adalberto", "non-dropping-particle" : "", "parse-names" : false, "suffix" : "" }, { "dropping-particle" : "", "family" : "Tavares", "given" : "Leoberto Costa", "non-dropping-particle" : "", "parse-names" : false, "suffix" : "" } ], "container-title" : "J Pharm Pharmaceut Sci (www.cspscanada.org)", "id" : "ITEM-3", "issue" : "2", "issued" : { "date-parts" : [ [ "2005" ] ] }, "page" : "147-163", "title" : "Micellar solubilization of drugs", "type" : "article-journal", "volume" : "8" }, "uris" : [ "http://www.mendeley.com/documents/?uuid=d0113e2b-dff8-3380-95eb-ce76cebe0d00" ] }, { "id" : "ITEM-4", "itemData" : { "DOI" : "10.1063/1.2186324", "ISSN" : "0021-9606", "author" : [ { "dropping-particle" : "", "family" : "Matubayasi", "given" : "Nobuyuki", "non-dropping-particle" : "", "parse-names" : false, "suffix" : "" }, { "dropping-particle" : "", "family" : "Liang", "given" : "Kuo Kan", "non-dropping-particle" : "", "parse-names" : false, "suffix" : "" }, { "dropping-particle" : "", "family" : "Nakahara", "given" : "Masaru", "non-dropping-particle" : "", "parse-names" : false, "suffix" : "" } ], "container-title" : "The Journal of Chemical Physics", "id" : "ITEM-4", "issue" : "15", "issued" : { "date-parts" : [ [ "2006", "4", "21" ] ] }, "page" : "154908", "title" : "Free-energy analysis of solubilization in micelle", "type" : "article-journal", "volume" : "124" }, "uris" : [ "http://www.mendeley.com/documents/?uuid=d1f0e9c1-c8cc-3891-ab25-bfeb8a83a8f0" ] } ], "mendeley" : { "formattedCitation" : "&lt;sup&gt;30,44,48,49&lt;/sup&gt;", "plainTextFormattedCitation" : "30,44,48,49", "previouslyFormattedCitation" : "&lt;sup&gt;30,44,48,49&lt;/sup&gt;" }, "properties" : { "noteIndex" : 0 }, "schema" : "https://github.com/citation-style-language/schema/raw/master/csl-citation.json" }</w:instrText>
      </w:r>
      <w:r w:rsidR="005B26AB" w:rsidRPr="00EC5244">
        <w:rPr>
          <w:lang w:val="en-CA"/>
        </w:rPr>
        <w:fldChar w:fldCharType="separate"/>
      </w:r>
      <w:r w:rsidR="005B26AB" w:rsidRPr="00EC5244">
        <w:rPr>
          <w:noProof/>
          <w:vertAlign w:val="superscript"/>
          <w:lang w:val="en-CA"/>
        </w:rPr>
        <w:t>30,44,48,49</w:t>
      </w:r>
      <w:r w:rsidR="005B26AB" w:rsidRPr="00EC5244">
        <w:rPr>
          <w:lang w:val="en-CA"/>
        </w:rPr>
        <w:fldChar w:fldCharType="end"/>
      </w:r>
      <w:r w:rsidR="005B26AB" w:rsidRPr="00EC5244">
        <w:t xml:space="preserve"> </w:t>
      </w:r>
      <w:r w:rsidR="005B26AB" w:rsidRPr="00EC5244">
        <w:rPr>
          <w:lang w:val="en-CA"/>
        </w:rPr>
        <w:t xml:space="preserve"> The multiplicity of solute locations depends on the chemistry of solute and hydrotrope molecules, and reflect the dominant interaction that is responsible for solubilizat</w:t>
      </w:r>
      <w:r w:rsidRPr="00EC5244">
        <w:rPr>
          <w:lang w:val="en-CA"/>
        </w:rPr>
        <w:t xml:space="preserve">ion. Thus, in the present case, observation of different </w:t>
      </w:r>
      <w:r w:rsidR="005B26AB" w:rsidRPr="00EC5244">
        <w:rPr>
          <w:lang w:val="en-CA"/>
        </w:rPr>
        <w:t>solute locations</w:t>
      </w:r>
      <w:r w:rsidRPr="00EC5244">
        <w:rPr>
          <w:lang w:val="en-CA"/>
        </w:rPr>
        <w:t xml:space="preserve"> depending on hydrotrope-solute combination</w:t>
      </w:r>
      <w:r w:rsidR="005B26AB" w:rsidRPr="00EC5244">
        <w:rPr>
          <w:lang w:val="en-CA"/>
        </w:rPr>
        <w:t>, ranging from the interior of t</w:t>
      </w:r>
      <w:r w:rsidRPr="00EC5244">
        <w:rPr>
          <w:lang w:val="en-CA"/>
        </w:rPr>
        <w:t xml:space="preserve">he hydrotrope aggregates to within interfacial </w:t>
      </w:r>
      <w:r w:rsidR="005B26AB" w:rsidRPr="00EC5244">
        <w:rPr>
          <w:lang w:val="en-CA"/>
        </w:rPr>
        <w:t>film</w:t>
      </w:r>
      <w:r w:rsidRPr="00EC5244">
        <w:rPr>
          <w:lang w:val="en-CA"/>
        </w:rPr>
        <w:t xml:space="preserve">, </w:t>
      </w:r>
      <w:r w:rsidR="00D63CEF" w:rsidRPr="00EC5244">
        <w:rPr>
          <w:lang w:val="en-CA"/>
        </w:rPr>
        <w:t>shows</w:t>
      </w:r>
      <w:r w:rsidRPr="00EC5244">
        <w:rPr>
          <w:lang w:val="en-CA"/>
        </w:rPr>
        <w:t xml:space="preserve"> a variety of mechanisms </w:t>
      </w:r>
      <w:r w:rsidR="00D63CEF" w:rsidRPr="00EC5244">
        <w:rPr>
          <w:lang w:val="en-CA"/>
        </w:rPr>
        <w:t xml:space="preserve">by which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Pr="00EC5244">
        <w:rPr>
          <w:lang w:val="en-CA"/>
        </w:rPr>
        <w:t xml:space="preserve"> is made large and positive. </w:t>
      </w:r>
    </w:p>
    <w:p w14:paraId="5E93B48C" w14:textId="77777777" w:rsidR="005B26AB" w:rsidRPr="00EC5244" w:rsidRDefault="005B26AB" w:rsidP="00171757">
      <w:pPr>
        <w:pStyle w:val="TAMainText"/>
        <w:ind w:firstLine="0"/>
        <w:rPr>
          <w:lang w:val="en-CA"/>
        </w:rPr>
      </w:pPr>
    </w:p>
    <w:p w14:paraId="56C90943" w14:textId="3367130F" w:rsidR="00A04BE2" w:rsidRPr="00EC5244" w:rsidRDefault="00A04BE2" w:rsidP="003F7247">
      <w:pPr>
        <w:pStyle w:val="TAMainText"/>
        <w:rPr>
          <w:lang w:val="en-CA"/>
        </w:rPr>
      </w:pPr>
      <w:r w:rsidRPr="00EC5244">
        <w:rPr>
          <w:b/>
          <w:lang w:val="en-CA"/>
        </w:rPr>
        <w:t xml:space="preserve">Pre-clustering, </w:t>
      </w:r>
      <m:oMath>
        <m:sSub>
          <m:sSubPr>
            <m:ctrlPr>
              <w:rPr>
                <w:rFonts w:ascii="Cambria Math" w:hAnsi="Cambria Math"/>
                <w:b/>
                <w:i/>
                <w:lang w:val="en-CA"/>
              </w:rPr>
            </m:ctrlPr>
          </m:sSubPr>
          <m:e>
            <m:r>
              <m:rPr>
                <m:sty m:val="bi"/>
              </m:rPr>
              <w:rPr>
                <w:rFonts w:ascii="Cambria Math" w:hAnsi="Cambria Math"/>
                <w:lang w:val="en-CA"/>
              </w:rPr>
              <m:t>G</m:t>
            </m:r>
          </m:e>
          <m:sub>
            <m:r>
              <m:rPr>
                <m:sty m:val="bi"/>
              </m:rPr>
              <w:rPr>
                <w:rFonts w:ascii="Cambria Math" w:hAnsi="Cambria Math"/>
                <w:lang w:val="en-CA"/>
              </w:rPr>
              <m:t>22</m:t>
            </m:r>
          </m:sub>
        </m:sSub>
      </m:oMath>
      <w:r w:rsidRPr="00EC5244">
        <w:rPr>
          <w:b/>
          <w:lang w:val="en-CA"/>
        </w:rPr>
        <w:t>.</w:t>
      </w:r>
      <w:r w:rsidRPr="00EC5244">
        <w:rPr>
          <w:lang w:val="en-CA"/>
        </w:rPr>
        <w:t xml:space="preserve"> </w:t>
      </w:r>
      <w:r w:rsidR="001335E9" w:rsidRPr="00EC5244">
        <w:rPr>
          <w:lang w:val="en-CA"/>
        </w:rPr>
        <w:t>The relationship between solubilization and hydrotrope pre-clustering is an important question.</w:t>
      </w:r>
      <w:r w:rsidR="00B77F33" w:rsidRPr="00EC5244">
        <w:rPr>
          <w:lang w:val="en-CA"/>
        </w:rPr>
        <w:fldChar w:fldCharType="begin" w:fldLock="1"/>
      </w:r>
      <w:r w:rsidR="00D63CEF" w:rsidRPr="00EC5244">
        <w:rPr>
          <w:lang w:val="en-CA"/>
        </w:rPr>
        <w:instrText>ADDIN CSL_CITATION { "citationItems" : [ { "id" : "ITEM-1", "itemData" : { "DOI" : "10.1039/C6CP06696H", "ISSN" : "1463-9076", "abstract" : "In the present contribution, the pre-structuring of binary mixtures of hydrotropes and H2O is linked to the solubilisation of poorly water miscible compounds. We have chosen a series of short-chain alcohols as hydrotropes and benzyl alcohol, limonene and a hydrophobic azo-dye (Disperse Red 13) as organic compounds to be dissolved. A very weak pre-structuring is found for ethanol/H2O and 2-propanol/H2O mixtures. Pre-structuring is most developed for binary 1-propanol/H2O and tert-butanol/H2O mixtures and supports the bicontinuity model of alcohol-rich and water-rich domains as already postulated by Anisimov et al. Such a pre-structuring leads to a high solubilisation power for poorly water miscible components (limonene and Disperse Red, characterized by high octanol/water partition coefficients, log(P) values of 4.5 and 4.85), whereas a very weak pre-structuring leads to a high solubilisation power for slightly water miscible components (benzyl alcohol). This difference in solubilisation power can be linked to (i) the formation of mesoscale structures in the cases of ethanol and 2-propanol and (ii) the extension of pre-structures in the cases of 1-propanol and tert-butanol. Three different solubilisation mechanisms could be identified: bulk solubilisation, interface solubilisation and a combination of both. These supramolecular structures in binary and ternary systems were investigated by small-and-wide-angle X-ray and neutron scattering, dynamic light scattering and conductivity measurements (in the presence of small amounts of salt).", "author" : [ { "dropping-particle" : "", "family" : "Buchecker", "given" : "Thomas", "non-dropping-particle" : "", "parse-names" : false, "suffix" : "" }, { "dropping-particle" : "", "family" : "Krickl", "given" : "Sebastian", "non-dropping-particle" : "", "parse-names" : false, "suffix" : "" }, { "dropping-particle" : "", "family" : "Winkler", "given" : "Robert", "non-dropping-particle" : "", "parse-names" : false, "suffix" : "" }, { "dropping-particle" : "", "family" : "Grillo", "given" : "Isabelle", "non-dropping-particle" : "", "parse-names" : false, "suffix" : "" }, { "dropping-particle" : "", "family" : "Bauduin", "given" : "Pierre", "non-dropping-particle" : "", "parse-names" : false, "suffix" : "" }, { "dropping-particle" : "", "family" : "Touraud", "given" : "Didier", "non-dropping-particle" : "", "parse-names" : false, "suffix" : "" }, { "dropping-particle" : "", "family" : "Pfitzner", "given" : "Arno", "non-dropping-particle" : "", "parse-names" : false, "suffix" : "" }, { "dropping-particle" : "", "family" : "Kunz", "given" : "Werner", "non-dropping-particle" : "", "parse-names" : false, "suffix" : "" }, { "dropping-particle" : "", "family" : "Cubitt", "given" : "R.", "non-dropping-particle" : "", "parse-names" : false, "suffix" : "" }, { "dropping-particle" : "", "family" : "Marelja", "given" : "S.", "non-dropping-particle" : "", "parse-names" : false, "suffix" : "" }, { "dropping-particle" : "", "family" : "Kunz", "given" : "W.", "non-dropping-particle" : "", "parse-names" : false, "suffix" : "" } ], "container-title" : "Phys. Chem. Chem. Phys.", "id" : "ITEM-1", "issue" : "3", "issued" : { "date-parts" : [ [ "2017" ] ] }, "page" : "1806-1816", "publisher" : "The Royal Society of Chemistry", "title" : "The impact of the structuring of hydrotropes in water on the mesoscale solubilisation of a third hydrophobic component", "type" : "article-journal", "volume" : "19" }, "uris" : [ "http://www.mendeley.com/documents/?uuid=e46e28c7-f3ae-377d-8317-fe42ef858478" ] } ], "mendeley" : { "formattedCitation" : "&lt;sup&gt;55&lt;/sup&gt;", "plainTextFormattedCitation" : "55", "previouslyFormattedCitation" : "&lt;sup&gt;55&lt;/sup&gt;" }, "properties" : { "noteIndex" : 0 }, "schema" : "https://github.com/citation-style-language/schema/raw/master/csl-citation.json" }</w:instrText>
      </w:r>
      <w:r w:rsidR="00B77F33" w:rsidRPr="00EC5244">
        <w:rPr>
          <w:lang w:val="en-CA"/>
        </w:rPr>
        <w:fldChar w:fldCharType="separate"/>
      </w:r>
      <w:r w:rsidR="00D63CEF" w:rsidRPr="00EC5244">
        <w:rPr>
          <w:noProof/>
          <w:vertAlign w:val="superscript"/>
          <w:lang w:val="en-CA"/>
        </w:rPr>
        <w:t>55</w:t>
      </w:r>
      <w:r w:rsidR="00B77F33" w:rsidRPr="00EC5244">
        <w:rPr>
          <w:lang w:val="en-CA"/>
        </w:rPr>
        <w:fldChar w:fldCharType="end"/>
      </w:r>
      <w:r w:rsidR="001335E9" w:rsidRPr="00EC5244">
        <w:rPr>
          <w:lang w:val="en-CA"/>
        </w:rPr>
        <w:t xml:space="preserve"> In the language of the KB theory, pre-clustering refers to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001335E9" w:rsidRPr="00EC5244">
        <w:rPr>
          <w:lang w:val="en-CA"/>
        </w:rPr>
        <w:t>, which decreases solubilization efficiency</w:t>
      </w:r>
      <w:r w:rsidR="00B77F33" w:rsidRPr="00EC5244">
        <w:rPr>
          <w:lang w:val="en-CA"/>
        </w:rPr>
        <w:t xml:space="preserve"> (Eq. (16))</w:t>
      </w:r>
      <w:r w:rsidR="001335E9" w:rsidRPr="00EC5244">
        <w:rPr>
          <w:lang w:val="en-CA"/>
        </w:rPr>
        <w:t>, namely the apparent reduction of per-hydrotrope solubilizatio</w:t>
      </w:r>
      <w:r w:rsidR="00B77F33" w:rsidRPr="00EC5244">
        <w:rPr>
          <w:lang w:val="en-CA"/>
        </w:rPr>
        <w:t>n</w:t>
      </w:r>
      <w:r w:rsidR="001335E9" w:rsidRPr="00EC5244">
        <w:rPr>
          <w:lang w:val="en-CA"/>
        </w:rPr>
        <w:t xml:space="preserve">. But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00B77F33" w:rsidRPr="00EC5244">
        <w:rPr>
          <w:lang w:val="en-CA"/>
        </w:rPr>
        <w:t xml:space="preserve"> is not the sole</w:t>
      </w:r>
      <w:r w:rsidR="001335E9" w:rsidRPr="00EC5244">
        <w:rPr>
          <w:lang w:val="en-CA"/>
        </w:rPr>
        <w:t xml:space="preserve"> contributio</w:t>
      </w:r>
      <w:r w:rsidR="00B77F33" w:rsidRPr="00EC5244">
        <w:rPr>
          <w:lang w:val="en-CA"/>
        </w:rPr>
        <w:t>n to solubilization. Section 5.1 has clarified</w:t>
      </w:r>
      <w:r w:rsidR="001335E9" w:rsidRPr="00EC5244">
        <w:rPr>
          <w:lang w:val="en-CA"/>
        </w:rPr>
        <w:t xml:space="preserve"> that the major driving force of hydrotropic solubilization is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001335E9" w:rsidRPr="00EC5244">
        <w:rPr>
          <w:lang w:val="en-CA"/>
        </w:rPr>
        <w:t xml:space="preserve">, and that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001335E9" w:rsidRPr="00EC5244">
        <w:rPr>
          <w:lang w:val="en-CA"/>
        </w:rPr>
        <w:t xml:space="preserve"> and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001335E9" w:rsidRPr="00EC5244">
        <w:rPr>
          <w:lang w:val="en-CA"/>
        </w:rPr>
        <w:t xml:space="preserve"> are independent KB integrals.</w:t>
      </w:r>
      <w:r w:rsidR="001335E9" w:rsidRPr="00EC5244">
        <w:rPr>
          <w:lang w:val="en-CA"/>
        </w:rPr>
        <w:fldChar w:fldCharType="begin" w:fldLock="1"/>
      </w:r>
      <w:r w:rsidR="001335E9" w:rsidRPr="00EC5244">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"&lt;sup&gt;10&lt;/sup&gt;", "plainTextFormattedCitation" : "10", "previouslyFormattedCitation" : "&lt;sup&gt;10&lt;/sup&gt;" }, "properties" : { "noteIndex" : 0 }, "schema" : "https://github.com/citation-style-language/schema/raw/master/csl-citation.json" }</w:instrText>
      </w:r>
      <w:r w:rsidR="001335E9" w:rsidRPr="00EC5244">
        <w:rPr>
          <w:lang w:val="en-CA"/>
        </w:rPr>
        <w:fldChar w:fldCharType="separate"/>
      </w:r>
      <w:r w:rsidR="001335E9" w:rsidRPr="00EC5244">
        <w:rPr>
          <w:noProof/>
          <w:vertAlign w:val="superscript"/>
          <w:lang w:val="en-CA"/>
        </w:rPr>
        <w:t>10</w:t>
      </w:r>
      <w:r w:rsidR="001335E9" w:rsidRPr="00EC5244">
        <w:rPr>
          <w:lang w:val="en-CA"/>
        </w:rPr>
        <w:fldChar w:fldCharType="end"/>
      </w:r>
      <w:r w:rsidR="001335E9" w:rsidRPr="00EC5244">
        <w:rPr>
          <w:lang w:val="en-CA"/>
        </w:rPr>
        <w:t xml:space="preserve"> Hence the lack of </w:t>
      </w:r>
      <w:r w:rsidR="008879A6" w:rsidRPr="00EC5244">
        <w:rPr>
          <w:lang w:val="en-CA"/>
        </w:rPr>
        <w:t xml:space="preserve">a simple </w:t>
      </w:r>
      <w:r w:rsidR="001335E9" w:rsidRPr="00EC5244">
        <w:rPr>
          <w:lang w:val="en-CA"/>
        </w:rPr>
        <w:t xml:space="preserve">correlation between solubilization and </w:t>
      </w:r>
      <w:r w:rsidR="00F73418" w:rsidRPr="00EC5244">
        <w:rPr>
          <w:lang w:val="en-CA"/>
        </w:rPr>
        <w:t>hydrotrope pre-clustering</w:t>
      </w:r>
      <w:r w:rsidR="00F73418" w:rsidRPr="00EC5244">
        <w:rPr>
          <w:lang w:val="en-CA"/>
        </w:rPr>
        <w:fldChar w:fldCharType="begin" w:fldLock="1"/>
      </w:r>
      <w:r w:rsidR="00D63CEF" w:rsidRPr="00EC5244">
        <w:rPr>
          <w:lang w:val="en-CA"/>
        </w:rPr>
        <w:instrText>ADDIN CSL_CITATION { "citationItems" : [ { "id" : "ITEM-1", "itemData" : { "DOI" : "10.1039/C6CP06696H", "ISSN" : "1463-9076", "abstract" : "In the present contribution, the pre-structuring of binary mixtures of hydrotropes and H2O is linked to the solubilisation of poorly water miscible compounds. We have chosen a series of short-chain alcohols as hydrotropes and benzyl alcohol, limonene and a hydrophobic azo-dye (Disperse Red 13) as organic compounds to be dissolved. A very weak pre-structuring is found for ethanol/H2O and 2-propanol/H2O mixtures. Pre-structuring is most developed for binary 1-propanol/H2O and tert-butanol/H2O mixtures and supports the bicontinuity model of alcohol-rich and water-rich domains as already postulated by Anisimov et al. Such a pre-structuring leads to a high solubilisation power for poorly water miscible components (limonene and Disperse Red, characterized by high octanol/water partition coefficients, log(P) values of 4.5 and 4.85), whereas a very weak pre-structuring leads to a high solubilisation power for slightly water miscible components (benzyl alcohol). This difference in solubilisation power can be linked to (i) the formation of mesoscale structures in the cases of ethanol and 2-propanol and (ii) the extension of pre-structures in the cases of 1-propanol and tert-butanol. Three different solubilisation mechanisms could be identified: bulk solubilisation, interface solubilisation and a combination of both. These supramolecular structures in binary and ternary systems were investigated by small-and-wide-angle X-ray and neutron scattering, dynamic light scattering and conductivity measurements (in the presence of small amounts of salt).", "author" : [ { "dropping-particle" : "", "family" : "Buchecker", "given" : "Thomas", "non-dropping-particle" : "", "parse-names" : false, "suffix" : "" }, { "dropping-particle" : "", "family" : "Krickl", "given" : "Sebastian", "non-dropping-particle" : "", "parse-names" : false, "suffix" : "" }, { "dropping-particle" : "", "family" : "Winkler", "given" : "Robert", "non-dropping-particle" : "", "parse-names" : false, "suffix" : "" }, { "dropping-particle" : "", "family" : "Grillo", "given" : "Isabelle", "non-dropping-particle" : "", "parse-names" : false, "suffix" : "" }, { "dropping-particle" : "", "family" : "Bauduin", "given" : "Pierre", "non-dropping-particle" : "", "parse-names" : false, "suffix" : "" }, { "dropping-particle" : "", "family" : "Touraud", "given" : "Didier", "non-dropping-particle" : "", "parse-names" : false, "suffix" : "" }, { "dropping-particle" : "", "family" : "Pfitzner", "given" : "Arno", "non-dropping-particle" : "", "parse-names" : false, "suffix" : "" }, { "dropping-particle" : "", "family" : "Kunz", "given" : "Werner", "non-dropping-particle" : "", "parse-names" : false, "suffix" : "" }, { "dropping-particle" : "", "family" : "Cubitt", "given" : "R.", "non-dropping-particle" : "", "parse-names" : false, "suffix" : "" }, { "dropping-particle" : "", "family" : "Marelja", "given" : "S.", "non-dropping-particle" : "", "parse-names" : false, "suffix" : "" }, { "dropping-particle" : "", "family" : "Kunz", "given" : "W.", "non-dropping-particle" : "", "parse-names" : false, "suffix" : "" } ], "container-title" : "Phys. Chem. Chem. Phys.", "id" : "ITEM-1", "issue" : "3", "issued" : { "date-parts" : [ [ "2017" ] ] }, "page" : "1806-1816", "publisher" : "The Royal Society of Chemistry", "title" : "The impact of the structuring of hydrotropes in water on the mesoscale solubilisation of a third hydrophobic component", "type" : "article-journal", "volume" : "19" }, "uris" : [ "http://www.mendeley.com/documents/?uuid=e46e28c7-f3ae-377d-8317-fe42ef858478" ] } ], "mendeley" : { "formattedCitation" : "&lt;sup&gt;55&lt;/sup&gt;", "plainTextFormattedCitation" : "55", "previouslyFormattedCitation" : "&lt;sup&gt;55&lt;/sup&gt;" }, "properties" : { "noteIndex" : 0 }, "schema" : "https://github.com/citation-style-language/schema/raw/master/csl-citation.json" }</w:instrText>
      </w:r>
      <w:r w:rsidR="00F73418" w:rsidRPr="00EC5244">
        <w:rPr>
          <w:lang w:val="en-CA"/>
        </w:rPr>
        <w:fldChar w:fldCharType="separate"/>
      </w:r>
      <w:r w:rsidR="00D63CEF" w:rsidRPr="00EC5244">
        <w:rPr>
          <w:noProof/>
          <w:vertAlign w:val="superscript"/>
          <w:lang w:val="en-CA"/>
        </w:rPr>
        <w:t>55</w:t>
      </w:r>
      <w:r w:rsidR="00F73418" w:rsidRPr="00EC5244">
        <w:rPr>
          <w:lang w:val="en-CA"/>
        </w:rPr>
        <w:fldChar w:fldCharType="end"/>
      </w:r>
      <w:r w:rsidR="001335E9" w:rsidRPr="00EC5244">
        <w:rPr>
          <w:lang w:val="en-CA"/>
        </w:rPr>
        <w:t xml:space="preserve"> </w:t>
      </w:r>
      <w:r w:rsidR="00F73418" w:rsidRPr="00EC5244">
        <w:rPr>
          <w:lang w:val="en-CA"/>
        </w:rPr>
        <w:t>(i.e.,</w:t>
      </w:r>
      <w:r w:rsidR="001335E9" w:rsidRPr="00EC5244">
        <w:rPr>
          <w:lang w:val="en-CA"/>
        </w:rPr>
        <w:t xml:space="preser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00F73418" w:rsidRPr="00EC5244">
        <w:rPr>
          <w:lang w:val="en-CA"/>
        </w:rPr>
        <w:t>)</w:t>
      </w:r>
      <w:r w:rsidR="001335E9" w:rsidRPr="00EC5244">
        <w:rPr>
          <w:lang w:val="en-CA"/>
        </w:rPr>
        <w:t xml:space="preserve"> is not surprising nor does it constitute a refutation of </w:t>
      </w:r>
      <w:r w:rsidR="005840E7" w:rsidRPr="00EC5244">
        <w:rPr>
          <w:lang w:val="en-CA"/>
        </w:rPr>
        <w:t xml:space="preserve">or </w:t>
      </w:r>
      <w:r w:rsidR="00F73418" w:rsidRPr="00EC5244">
        <w:rPr>
          <w:lang w:val="en-CA"/>
        </w:rPr>
        <w:t xml:space="preserve">a </w:t>
      </w:r>
      <w:r w:rsidR="005840E7" w:rsidRPr="00EC5244">
        <w:rPr>
          <w:lang w:val="en-CA"/>
        </w:rPr>
        <w:t xml:space="preserve">counter-example to </w:t>
      </w:r>
      <w:r w:rsidR="001335E9" w:rsidRPr="00EC5244">
        <w:rPr>
          <w:lang w:val="en-CA"/>
        </w:rPr>
        <w:t>the rigorous statistical thermodynamic approach</w:t>
      </w:r>
      <w:r w:rsidR="00782280" w:rsidRPr="00EC5244">
        <w:rPr>
          <w:lang w:val="en-CA"/>
        </w:rPr>
        <w:t xml:space="preserve"> to hydrotropy. </w:t>
      </w:r>
    </w:p>
    <w:p w14:paraId="7DF8C20C" w14:textId="77777777" w:rsidR="00A04BE2" w:rsidRPr="00EC5244" w:rsidRDefault="00A04BE2" w:rsidP="003F7247">
      <w:pPr>
        <w:pStyle w:val="TAMainText"/>
        <w:rPr>
          <w:lang w:val="en-CA"/>
        </w:rPr>
      </w:pPr>
    </w:p>
    <w:p w14:paraId="0B7BC9AC" w14:textId="05FAA235" w:rsidR="00AA7E5C" w:rsidRPr="00EC5244" w:rsidRDefault="00A04BE2" w:rsidP="00D63CEF">
      <w:pPr>
        <w:pStyle w:val="TAMainText"/>
        <w:rPr>
          <w:lang w:val="en-CA"/>
        </w:rPr>
      </w:pPr>
      <w:r w:rsidRPr="00EC5244">
        <w:rPr>
          <w:lang w:val="en-CA"/>
        </w:rPr>
        <w:t>Thus, the</w:t>
      </w:r>
      <w:r w:rsidR="00D15A20" w:rsidRPr="00EC5244">
        <w:rPr>
          <w:lang w:val="en-CA"/>
        </w:rPr>
        <w:t xml:space="preserve"> </w:t>
      </w:r>
      <w:r w:rsidR="008879A6" w:rsidRPr="00EC5244">
        <w:rPr>
          <w:lang w:val="en-CA"/>
        </w:rPr>
        <w:t xml:space="preserve">general principle of hydrotropic </w:t>
      </w:r>
      <w:r w:rsidR="00F73418" w:rsidRPr="00EC5244">
        <w:rPr>
          <w:lang w:val="en-CA"/>
        </w:rPr>
        <w:t xml:space="preserve">solubilization </w:t>
      </w:r>
      <w:r w:rsidR="008879A6" w:rsidRPr="00EC5244">
        <w:rPr>
          <w:lang w:val="en-CA"/>
        </w:rPr>
        <w:t xml:space="preserve">still holds true in the presence of mesoscale structuring: solubilization </w:t>
      </w:r>
      <w:r w:rsidR="00F73418" w:rsidRPr="00EC5244">
        <w:rPr>
          <w:lang w:val="en-CA"/>
        </w:rPr>
        <w:t>is driven</w:t>
      </w:r>
      <w:r w:rsidR="00B77F33" w:rsidRPr="00EC5244">
        <w:rPr>
          <w:lang w:val="en-CA"/>
        </w:rPr>
        <w:t xml:space="preserve"> by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00F73418" w:rsidRPr="00EC5244">
        <w:rPr>
          <w:lang w:val="en-CA"/>
        </w:rPr>
        <w:t xml:space="preserve"> and attenuated</w:t>
      </w:r>
      <w:r w:rsidR="00B77F33" w:rsidRPr="00EC5244">
        <w:rPr>
          <w:lang w:val="en-CA"/>
        </w:rPr>
        <w:t xml:space="preserve"> by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22</m:t>
            </m:r>
          </m:sub>
        </m:sSub>
      </m:oMath>
      <w:r w:rsidR="00D63CEF" w:rsidRPr="00EC5244">
        <w:rPr>
          <w:lang w:val="en-CA"/>
        </w:rPr>
        <w:t>. A correlation between pre-clustering and solubilization</w:t>
      </w:r>
      <w:r w:rsidR="00D63CEF" w:rsidRPr="00EC5244">
        <w:rPr>
          <w:lang w:val="en-CA"/>
        </w:rPr>
        <w:fldChar w:fldCharType="begin" w:fldLock="1"/>
      </w:r>
      <w:r w:rsidR="00D63CEF" w:rsidRPr="00EC5244">
        <w:rPr>
          <w:lang w:val="en-CA"/>
        </w:rPr>
        <w:instrText>ADDIN CSL_CITATION { "citationItems" : [ { "id" : "ITEM-1", "itemData" : { "DOI" : "10.1039/C6CP06696H", "ISSN" : "1463-9076", "abstract" : "In the present contribution, the pre-structuring of binary mixtures of hydrotropes and H2O is linked to the solubilisation of poorly water miscible compounds. We have chosen a series of short-chain alcohols as hydrotropes and benzyl alcohol, limonene and a hydrophobic azo-dye (Disperse Red 13) as organic compounds to be dissolved. A very weak pre-structuring is found for ethanol/H2O and 2-propanol/H2O mixtures. Pre-structuring is most developed for binary 1-propanol/H2O and tert-butanol/H2O mixtures and supports the bicontinuity model of alcohol-rich and water-rich domains as already postulated by Anisimov et al. Such a pre-structuring leads to a high solubilisation power for poorly water miscible components (limonene and Disperse Red, characterized by high octanol/water partition coefficients, log(P) values of 4.5 and 4.85), whereas a very weak pre-structuring leads to a high solubilisation power for slightly water miscible components (benzyl alcohol). This difference in solubilisation power can be linked to (i) the formation of mesoscale structures in the cases of ethanol and 2-propanol and (ii) the extension of pre-structures in the cases of 1-propanol and tert-butanol. Three different solubilisation mechanisms could be identified: bulk solubilisation, interface solubilisation and a combination of both. These supramolecular structures in binary and ternary systems were investigated by small-and-wide-angle X-ray and neutron scattering, dynamic light scattering and conductivity measurements (in the presence of small amounts of salt).", "author" : [ { "dropping-particle" : "", "family" : "Buchecker", "given" : "Thomas", "non-dropping-particle" : "", "parse-names" : false, "suffix" : "" }, { "dropping-particle" : "", "family" : "Krickl", "given" : "Sebastian", "non-dropping-particle" : "", "parse-names" : false, "suffix" : "" }, { "dropping-particle" : "", "family" : "Winkler", "given" : "Robert", "non-dropping-particle" : "", "parse-names" : false, "suffix" : "" }, { "dropping-particle" : "", "family" : "Grillo", "given" : "Isabelle", "non-dropping-particle" : "", "parse-names" : false, "suffix" : "" }, { "dropping-particle" : "", "family" : "Bauduin", "given" : "Pierre", "non-dropping-particle" : "", "parse-names" : false, "suffix" : "" }, { "dropping-particle" : "", "family" : "Touraud", "given" : "Didier", "non-dropping-particle" : "", "parse-names" : false, "suffix" : "" }, { "dropping-particle" : "", "family" : "Pfitzner", "given" : "Arno", "non-dropping-particle" : "", "parse-names" : false, "suffix" : "" }, { "dropping-particle" : "", "family" : "Kunz", "given" : "Werner", "non-dropping-particle" : "", "parse-names" : false, "suffix" : "" }, { "dropping-particle" : "", "family" : "Cubitt", "given" : "R.", "non-dropping-particle" : "", "parse-names" : false, "suffix" : "" }, { "dropping-particle" : "", "family" : "Marelja", "given" : "S.", "non-dropping-particle" : "", "parse-names" : false, "suffix" : "" }, { "dropping-particle" : "", "family" : "Kunz", "given" : "W.", "non-dropping-particle" : "", "parse-names" : false, "suffix" : "" } ], "container-title" : "Phys. Chem. Chem. Phys.", "id" : "ITEM-1", "issue" : "3", "issued" : { "date-parts" : [ [ "2017" ] ] }, "page" : "1806-1816", "publisher" : "The Royal Society of Chemistry", "title" : "The impact of the structuring of hydrotropes in water on the mesoscale solubilisation of a third hydrophobic component", "type" : "article-journal", "volume" : "19" }, "uris" : [ "http://www.mendeley.com/documents/?uuid=e46e28c7-f3ae-377d-8317-fe42ef858478" ] } ], "mendeley" : { "formattedCitation" : "&lt;sup&gt;55&lt;/sup&gt;", "plainTextFormattedCitation" : "55", "previouslyFormattedCitation" : "&lt;sup&gt;55&lt;/sup&gt;" }, "properties" : { "noteIndex" : 0 }, "schema" : "https://github.com/citation-style-language/schema/raw/master/csl-citation.json" }</w:instrText>
      </w:r>
      <w:r w:rsidR="00D63CEF" w:rsidRPr="00EC5244">
        <w:rPr>
          <w:lang w:val="en-CA"/>
        </w:rPr>
        <w:fldChar w:fldCharType="separate"/>
      </w:r>
      <w:r w:rsidR="00D63CEF" w:rsidRPr="00EC5244">
        <w:rPr>
          <w:noProof/>
          <w:vertAlign w:val="superscript"/>
          <w:lang w:val="en-CA"/>
        </w:rPr>
        <w:t>55</w:t>
      </w:r>
      <w:r w:rsidR="00D63CEF" w:rsidRPr="00EC5244">
        <w:rPr>
          <w:lang w:val="en-CA"/>
        </w:rPr>
        <w:fldChar w:fldCharType="end"/>
      </w:r>
      <w:r w:rsidR="00D63CEF" w:rsidRPr="00EC5244">
        <w:rPr>
          <w:lang w:val="en-CA"/>
        </w:rPr>
        <w:t xml:space="preserve"> alone cannot disentangle the cause and the effect. We hope that the wealth of scattering data</w:t>
      </w:r>
      <w:r w:rsidR="00D63CEF" w:rsidRPr="00EC5244">
        <w:rPr>
          <w:lang w:val="en-CA"/>
        </w:rPr>
        <w:fldChar w:fldCharType="begin" w:fldLock="1"/>
      </w:r>
      <w:r w:rsidR="00FB6A45" w:rsidRPr="00EC5244">
        <w:rPr>
          <w:lang w:val="en-CA"/>
        </w:rPr>
        <w:instrText>ADDIN CSL_CITATION { "citationItems" : [ { "id" : "ITEM-1", "itemData" : { "DOI" : "10.1039/C6CP06696H", "ISSN" : "1463-9076", "abstract" : "In the present contribution, the pre-structuring of binary mixtures of hydrotropes and H2O is linked to the solubilisation of poorly water miscible compounds. We have chosen a series of short-chain alcohols as hydrotropes and benzyl alcohol, limonene and a hydrophobic azo-dye (Disperse Red 13) as organic compounds to be dissolved. A very weak pre-structuring is found for ethanol/H2O and 2-propanol/H2O mixtures. Pre-structuring is most developed for binary 1-propanol/H2O and tert-butanol/H2O mixtures and supports the bicontinuity model of alcohol-rich and water-rich domains as already postulated by Anisimov et al. Such a pre-structuring leads to a high solubilisation power for poorly water miscible components (limonene and Disperse Red, characterized by high octanol/water partition coefficients, log(P) values of 4.5 and 4.85), whereas a very weak pre-structuring leads to a high solubilisation power for slightly water miscible components (benzyl alcohol). This difference in solubilisation power can be linked to (i) the formation of mesoscale structures in the cases of ethanol and 2-propanol and (ii) the extension of pre-structures in the cases of 1-propanol and tert-butanol. Three different solubilisation mechanisms could be identified: bulk solubilisation, interface solubilisation and a combination of both. These supramolecular structures in binary and ternary systems were investigated by small-and-wide-angle X-ray and neutron scattering, dynamic light scattering and conductivity measurements (in the presence of small amounts of salt).", "author" : [ { "dropping-particle" : "", "family" : "Buchecker", "given" : "Thomas", "non-dropping-particle" : "", "parse-names" : false, "suffix" : "" }, { "dropping-particle" : "", "family" : "Krickl", "given" : "Sebastian", "non-dropping-particle" : "", "parse-names" : false, "suffix" : "" }, { "dropping-particle" : "", "family" : "Winkler", "given" : "Robert", "non-dropping-particle" : "", "parse-names" : false, "suffix" : "" }, { "dropping-particle" : "", "family" : "Grillo", "given" : "Isabelle", "non-dropping-particle" : "", "parse-names" : false, "suffix" : "" }, { "dropping-particle" : "", "family" : "Bauduin", "given" : "Pierre", "non-dropping-particle" : "", "parse-names" : false, "suffix" : "" }, { "dropping-particle" : "", "family" : "Touraud", "given" : "Didier", "non-dropping-particle" : "", "parse-names" : false, "suffix" : "" }, { "dropping-particle" : "", "family" : "Pfitzner", "given" : "Arno", "non-dropping-particle" : "", "parse-names" : false, "suffix" : "" }, { "dropping-particle" : "", "family" : "Kunz", "given" : "Werner", "non-dropping-particle" : "", "parse-names" : false, "suffix" : "" }, { "dropping-particle" : "", "family" : "Cubitt", "given" : "R.", "non-dropping-particle" : "", "parse-names" : false, "suffix" : "" }, { "dropping-particle" : "", "family" : "Marelja", "given" : "S.", "non-dropping-particle" : "", "parse-names" : false, "suffix" : "" }, { "dropping-particle" : "", "family" : "Kunz", "given" : "W.", "non-dropping-particle" : "", "parse-names" : false, "suffix" : "" } ], "container-title" : "Phys. Chem. Chem. Phys.", "id" : "ITEM-1", "issue" : "3", "issued" : { "date-parts" : [ [ "2017" ] ] }, "page" : "1806-1816", "publisher" : "The Royal Society of Chemistry", "title" : "The impact of the structuring of hydrotropes in water on the mesoscale solubilisation of a third hydrophobic component", "type" : "article-journal", "volume" : "19" }, "uris" : [ "http://www.mendeley.com/documents/?uuid=e46e28c7-f3ae-377d-8317-fe42ef858478" ] } ], "mendeley" : { "formattedCitation" : "&lt;sup&gt;55&lt;/sup&gt;", "plainTextFormattedCitation" : "55", "previouslyFormattedCitation" : "&lt;sup&gt;55&lt;/sup&gt;" }, "properties" : { "noteIndex" : 0 }, "schema" : "https://github.com/citation-style-language/schema/raw/master/csl-citation.json" }</w:instrText>
      </w:r>
      <w:r w:rsidR="00D63CEF" w:rsidRPr="00EC5244">
        <w:rPr>
          <w:lang w:val="en-CA"/>
        </w:rPr>
        <w:fldChar w:fldCharType="separate"/>
      </w:r>
      <w:r w:rsidR="00D63CEF" w:rsidRPr="00EC5244">
        <w:rPr>
          <w:noProof/>
          <w:vertAlign w:val="superscript"/>
          <w:lang w:val="en-CA"/>
        </w:rPr>
        <w:t>55</w:t>
      </w:r>
      <w:r w:rsidR="00D63CEF" w:rsidRPr="00EC5244">
        <w:rPr>
          <w:lang w:val="en-CA"/>
        </w:rPr>
        <w:fldChar w:fldCharType="end"/>
      </w:r>
      <w:r w:rsidR="00D63CEF" w:rsidRPr="00EC5244">
        <w:rPr>
          <w:lang w:val="en-CA"/>
        </w:rPr>
        <w:t xml:space="preserve"> will lead to an extensive evaluation of KB integrals to quantify each of the driving forces.  </w:t>
      </w:r>
    </w:p>
    <w:p w14:paraId="73F77921" w14:textId="2524060A" w:rsidR="00E90C50" w:rsidRPr="00EC5244" w:rsidRDefault="00E90C50" w:rsidP="003F7247">
      <w:pPr>
        <w:pStyle w:val="TAMainText"/>
        <w:rPr>
          <w:lang w:val="en-CA"/>
        </w:rPr>
      </w:pPr>
    </w:p>
    <w:p w14:paraId="720872CA" w14:textId="01C6277D" w:rsidR="00E90C50" w:rsidRPr="00EC5244" w:rsidRDefault="00A04BE2" w:rsidP="00E90C50">
      <w:pPr>
        <w:pStyle w:val="TAMainText"/>
        <w:ind w:firstLine="0"/>
        <w:rPr>
          <w:b/>
          <w:lang w:val="en-CA"/>
        </w:rPr>
      </w:pPr>
      <w:r w:rsidRPr="00EC5244">
        <w:rPr>
          <w:b/>
          <w:lang w:val="en-CA"/>
        </w:rPr>
        <w:t>6.</w:t>
      </w:r>
      <w:r w:rsidR="00E90C50" w:rsidRPr="00EC5244">
        <w:rPr>
          <w:b/>
          <w:lang w:val="en-CA"/>
        </w:rPr>
        <w:t xml:space="preserve"> Pre-ouzo </w:t>
      </w:r>
      <w:r w:rsidRPr="00EC5244">
        <w:rPr>
          <w:b/>
          <w:lang w:val="en-CA"/>
        </w:rPr>
        <w:t xml:space="preserve">effect </w:t>
      </w:r>
      <w:r w:rsidR="00E90C50" w:rsidRPr="00EC5244">
        <w:rPr>
          <w:b/>
          <w:lang w:val="en-CA"/>
        </w:rPr>
        <w:t>and surfactant-free micro-emulsion</w:t>
      </w:r>
    </w:p>
    <w:p w14:paraId="6AF38C48" w14:textId="77777777" w:rsidR="00F8414E" w:rsidRPr="00EC5244" w:rsidRDefault="00F8414E" w:rsidP="003F4562">
      <w:pPr>
        <w:pStyle w:val="TAMainText"/>
        <w:rPr>
          <w:lang w:val="en-CA"/>
        </w:rPr>
      </w:pPr>
    </w:p>
    <w:p w14:paraId="09A0B07A" w14:textId="60D3FB6D" w:rsidR="00F8414E" w:rsidRPr="00EC5244" w:rsidRDefault="00F8414E" w:rsidP="00DE289E">
      <w:pPr>
        <w:pStyle w:val="TAMainText"/>
        <w:ind w:firstLine="0"/>
        <w:rPr>
          <w:lang w:val="en-CA"/>
        </w:rPr>
      </w:pPr>
      <w:r w:rsidRPr="00EC5244">
        <w:rPr>
          <w:lang w:val="en-CA"/>
        </w:rPr>
        <w:t xml:space="preserve">So far we have focused on three component systems consisting of water, hydrotrope and solute. Here we extend our theory further to 4-component systems comprising of </w:t>
      </w:r>
      <w:r w:rsidR="00F96A0A" w:rsidRPr="00EC5244">
        <w:rPr>
          <w:lang w:val="en-CA"/>
        </w:rPr>
        <w:t>water, “solvent”</w:t>
      </w:r>
      <w:r w:rsidR="008D6F6F" w:rsidRPr="00EC5244">
        <w:rPr>
          <w:lang w:val="en-CA"/>
        </w:rPr>
        <w:t xml:space="preserve"> </w:t>
      </w:r>
      <w:r w:rsidR="00E40C45" w:rsidRPr="00EC5244">
        <w:rPr>
          <w:lang w:val="en-CA"/>
        </w:rPr>
        <w:t xml:space="preserve">or “cosolvent” </w:t>
      </w:r>
      <w:r w:rsidR="008D6F6F" w:rsidRPr="00EC5244">
        <w:rPr>
          <w:lang w:val="en-CA"/>
        </w:rPr>
        <w:t>(species 2</w:t>
      </w:r>
      <w:r w:rsidR="004F135D" w:rsidRPr="00EC5244">
        <w:rPr>
          <w:lang w:val="en-CA"/>
        </w:rPr>
        <w:t>, partly-miscible with water</w:t>
      </w:r>
      <w:r w:rsidR="00F96A0A" w:rsidRPr="00EC5244">
        <w:rPr>
          <w:lang w:val="en-CA"/>
        </w:rPr>
        <w:t>), hydrotrope (species 3, that mixes with water and solvent),</w:t>
      </w:r>
      <w:r w:rsidR="008D6F6F" w:rsidRPr="00EC5244">
        <w:rPr>
          <w:lang w:val="en-CA"/>
        </w:rPr>
        <w:t xml:space="preserve"> </w:t>
      </w:r>
      <w:r w:rsidRPr="00EC5244">
        <w:rPr>
          <w:lang w:val="en-CA"/>
        </w:rPr>
        <w:t>and solute.</w:t>
      </w:r>
      <w:r w:rsidR="004F135D" w:rsidRPr="00EC5244">
        <w:rPr>
          <w:lang w:val="en-CA"/>
        </w:rPr>
        <w:fldChar w:fldCharType="begin" w:fldLock="1"/>
      </w:r>
      <w:r w:rsidR="00BB4DD1" w:rsidRPr="00EC5244">
        <w:rPr>
          <w:lang w:val="en-CA"/>
        </w:rPr>
        <w:instrText>ADDIN CSL_CITATION { "citationItems" : [ { "id" : "ITEM-1",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"ITEM-1", "issue" : "6", "issued" : { "date-parts" : [ [ "2013" ] ] }, "page" : "1665-1669", "title" : "Octanol-rich and water-rich domains in dynamic equilibrium in the pre-ouzo region of ternary systems containing a hydrotrope", "type" : "article-journal", "volume" : "46" }, "uris" : [ "http://www.mendeley.com/documents/?uuid=cc4fb429-79e5-4e24-9bcc-904ff2db4f0a" ] }, { "id" : "ITEM-2",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"ITEM-2", "issue" : "8", "issued" : { "date-parts" : [ [ "2014" ] ] }, "page" : "2909-3340", "title" : "Emergence of surfactant-free micelles from ternary solutions", "type" : "article-journal", "volume" : "5" }, "uris" : [ "http://www.mendeley.com/documents/?uuid=f5865d9c-ccb8-46bb-bcb1-2f7942864abd" ] }, { "id" : "ITEM-3", "itemData" : { "DOI" : "10.1016/j.colsurfa.2014.11.029", "ISBN" : "9419434745", "ISSN" : "09277757", "abstract" : "The theoretical description of systems with soft interfaces requires a precise definition of the interfaces that are present. Such definitions are common for interfaces of simple liquids and for surfactant assemblies like micelles, membranes, and microemulsions. Here, we focus on several possible rigorous definitions in a recently described surfactant-free microemulsion that consists of octanol, ethanol, and water, in which micelle-like aggregates are in dynamic equilibrium with the surrounding pseudo phase. We test different definitions that are based on the radial distribution functions of the components with respect to the center of these surfactant-free micelles. All definitions result in experimentally indistinguishable locations of the interface within the limits of resolution of light, X-ray, and neutron scattering experiments, since their locations differ by at most 0.4nm, which corresponds to roughly 2-3 bond lengths.", "author" : [ { "dropping-particle" : "", "family" : "Sch\u00f6ttl", "given" : "Sebastian", "non-dropping-particle" : "", "parse-names" : false, "suffix" : "" }, { "dropping-particle" : "", "family" : "Touraud", "given" : "Didier", "non-dropping-particle" : "", "parse-names" : false, "suffix" : "" }, { "dropping-particle" : "", "family" : "Kunz", "given" : "Werner", "non-dropping-particle" : "", "parse-names" : false, "suffix" : "" }, { "dropping-particle" : "", "family" : "Zemb", "given" : "Thomas", "non-dropping-particle" : "", "parse-names" : false, "suffix" : "" }, { "dropping-particle" : "", "family" : "Horinek", "given" : "Dominik", "non-dropping-particle" : "", "parse-names" : false, "suffix" : "" } ], "container-title" : "Colloids and Surfaces A: Physicochemical and Engineering Aspects", "id" : "ITEM-3", "issued" : { "date-parts" : [ [ "2015" ] ] }, "page" : "222-227", "publisher" : "Elsevier B.V.", "title" : "Consistent definitions of \u201cthe interface\u201d in surfactant-free micellar aggregates", "type" : "article-journal", "volume" : "480" }, "uris" : [ "http://www.mendeley.com/documents/?uuid=28e5a2f2-8ffb-44d0-a7df-817eb8ab6420" ] }, { "id" : "ITEM-4", "itemData" : { "DOI" : "10.1039/c5cp06364g", "ISSN" : "1463-9084", "PMID" : "26593697", "abstract" : "We study the addition of electrolytes to surfactant-free microemulsions in the domain where polydisperse pre-Ouzo aggregates are present. As in previous studies, the microemulsion is the ternary system water/ethanol/1-octanol, where ethanol acts as co-solvent. Addition of electrolytes modifies the static X-ray and neutron scattering, and dynamic light scattering patterns, as well as the position of the miscibility gap, where spontaneous emulsification occurs upon dilution with water. All observations can be rationalized considering that electrolytes are either \"salting out\" the ethanol, which is the main component of the interface stabilizing the aggregates, or producing charge separation via the antagonistic ion effect discovered by Onuki et al. Amphiphilic electrolytes, such as sodium dodecylsulfate or sodium dietheylhexylphosphate, induce a gradual transition towards monodisperse ionic micelles with their characteristic broad scattering \"peak\". In these micelles the ethanol plays then the role of a cosurfactant. Dynamic light scattering can only be understood by combination of fluctuations of aggregate concentration due to the vicinity of a critical point and in-out fluctuations of ethanol.", "author" : [ { "dropping-particle" : "", "family" : "Marcus", "given" : "J", "non-dropping-particle" : "", "parse-names" : false, "suffix" : "" }, { "dropping-particle" : "", "family" : "Touraud", "given" : "D", "non-dropping-particle" : "", "parse-names" : false, "suffix" : "" }, { "dropping-particle" : "", "family" : "Pr\u00e9vost", "given" : "S", "non-dropping-particle" : "", "parse-names" : false, "suffix" : "" }, { "dropping-particle" : "", "family" : "Diat", "given" : "O", "non-dropping-particle" : "", "parse-names" : false, "suffix" : "" }, { "dropping-particle" : "", "family" : "Zemb", "given" : "T", "non-dropping-particle" : "", "parse-names" : false, "suffix" : "" }, { "dropping-particle" : "", "family" : "Kunz", "given" : "W", "non-dropping-particle" : "", "parse-names" : false, "suffix" : "" } ], "container-title" : "Physical chemistry chemical physics : PCCP", "id" : "ITEM-4", "issue" : "48", "issued" : { "date-parts" : [ [ "2015" ] ] }, "page" : "32528-38", "publisher" : "Royal Society of Chemistry", "title" : "Influence of additives on the structure of surfactant-free microemulsions.", "type" : "article-journal", "volume" : "17" }, "uris" : [ "http://www.mendeley.com/documents/?uuid=3254b6b6-bf4c-4134-a266-060aefc772c6" ] }, { "id" : "ITEM-5",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"id" : "ITEM-5", "issue" : "16", "issued" : { "date-parts" : [ [ "2016" ] ] }, "page" : "4260-4265", "title" : "How to explain microemulsions formed by solvent mixtures without conventional surfactants", "type" : "article-journal", "volume" : "113" }, "uris" : [ "http://www.mendeley.com/documents/?uuid=8e80dbba-2c3f-4a3a-a65e-7e3fdbe3e67c" ] }, { "id" : "ITEM-6", "itemData" : { "DOI" : "10.1016/j.cocis.2016.04.002", "ISSN" : "18790399", "abstract" : "This paper gives an overview of weak aggregation due to long-range molecular forces beyond the first neighbor. Such subtle self-assemblies are an important part of modern colloidal chemistry and concern organic molecules as well as inorganic electrolytes and hybrid aggregates. Diverse aspects of such colloidal aggregations, as described in this special issue, can be characterized by the effective free energy per molecule involved. We discuss here expectations about emerging knowledge in this field and predictive modeling of inorganic as well as organic colloids and hybrid aggregates. Some still open questions are also given.", "author" : [ { "dropping-particle" : "", "family" : "Zemb", "given" : "Thomas", "non-dropping-particle" : "", "parse-names" : false, "suffix" : "" }, { "dropping-particle" : "", "family" : "Kunz", "given" : "Werner", "non-dropping-particle" : "", "parse-names" : false, "suffix" : "" } ], "container-title" : "Current Opinion in Colloid and Interface Science", "id" : "ITEM-6", "issued" : { "date-parts" : [ [ "2016" ] ] }, "page" : "113-119", "publisher" : "Elsevier Ltd", "title" : "Weak aggregation: State of the art, expectations and open questions", "type" : "article-journal", "volume" : "22" }, "uris" : [ "http://www.mendeley.com/documents/?uuid=b0efcade-f2a1-452d-ad33-6d11544b772e" ] }, { "id" : "ITEM-7",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"ITEM-7", "issued" : { "date-parts" : [ [ "2016" ] ] }, "page" : "99-107", "title" : "Hydrotropes", "type" : "article-journal", "volume" : "22" }, "uris" : [ "http://www.mendeley.com/documents/?uuid=c63892f6-f40b-4433-a7ae-392ad4c78409" ] }, { "id" : "ITEM-8", "itemData" : { "DOI" : "10.1039/C6CP06696H", "ISSN" : "1463-9076", "abstract" : "In the present contribution, the pre-structuring of binary mixtures of hydrotropes and H2O is linked to the solubilisation of poorly water miscible compounds. We have chosen a series of short-chain alcohols as hydrotropes and benzyl alcohol, limonene and a hydrophobic azo-dye (Disperse Red 13) as organic compounds to be dissolved. A very weak pre-structuring is found for ethanol/H2O and 2-propanol/H2O mixtures. Pre-structuring is most developed for binary 1-propanol/H2O and tert-butanol/H2O mixtures and supports the bicontinuity model of alcohol-rich and water-rich domains as already postulated by Anisimov et al. Such a pre-structuring leads to a high solubilisation power for poorly water miscible components (limonene and Disperse Red, characterized by high octanol/water partition coefficients, log(P) values of 4.5 and 4.85), whereas a very weak pre-structuring leads to a high solubilisation power for slightly water miscible components (benzyl alcohol). This difference in solubilisation power can be linked to (i) the formation of mesoscale structures in the cases of ethanol and 2-propanol and (ii) the extension of pre-structures in the cases of 1-propanol and tert-butanol. Three different solubilisation mechanisms could be identified: bulk solubilisation, interface solubilisation and a combination of both. These supramolecular structures in binary and ternary systems were investigated by small-and-wide-angle X-ray and neutron scattering, dynamic light scattering and conductivity measurements (in the presence of small amounts of salt).", "author" : [ { "dropping-particle" : "", "family" : "Buchecker", "given" : "Thomas", "non-dropping-particle" : "", "parse-names" : false, "suffix" : "" }, { "dropping-particle" : "", "family" : "Krickl", "given" : "Sebastian", "non-dropping-particle" : "", "parse-names" : false, "suffix" : "" }, { "dropping-particle" : "", "family" : "Winkler", "given" : "Robert", "non-dropping-particle" : "", "parse-names" : false, "suffix" : "" }, { "dropping-particle" : "", "family" : "Grillo", "given" : "Isabelle", "non-dropping-particle" : "", "parse-names" : false, "suffix" : "" }, { "dropping-particle" : "", "family" : "Bauduin", "given" : "Pierre", "non-dropping-particle" : "", "parse-names" : false, "suffix" : "" }, { "dropping-particle" : "", "family" : "Touraud", "given" : "Didier", "non-dropping-particle" : "", "parse-names" : false, "suffix" : "" }, { "dropping-particle" : "", "family" : "Pfitzner", "given" : "Arno", "non-dropping-particle" : "", "parse-names" : false, "suffix" : "" }, { "dropping-particle" : "", "family" : "Kunz", "given" : "Werner", "non-dropping-particle" : "", "parse-names" : false, "suffix" : "" }, { "dropping-particle" : "", "family" : "Cubitt", "given" : "R.", "non-dropping-particle" : "", "parse-names" : false, "suffix" : "" }, { "dropping-particle" : "", "family" : "Marelja", "given" : "S.", "non-dropping-particle" : "", "parse-names" : false, "suffix" : "" }, { "dropping-particle" : "", "family" : "Kunz", "given" : "W.", "non-dropping-particle" : "", "parse-names" : false, "suffix" : "" } ], "container-title" : "Phys. Chem. Chem. Phys.", "id" : "ITEM-8", "issue" : "3", "issued" : { "date-parts" : [ [ "2017" ] ] }, "page" : "1806-1816", "publisher" : "The Royal Society of Chemistry", "title" : "The impact of the structuring of hydrotropes in water on the mesoscale solubilisation of a third hydrophobic component", "type" : "article-journal", "volume" : "19" }, "uris" : [ "http://www.mendeley.com/documents/?uuid=e46e28c7-f3ae-377d-8317-fe42ef858478" ] } ], "mendeley" : { "formattedCitation" : "&lt;sup&gt;7,55,60\u201365&lt;/sup&gt;", "plainTextFormattedCitation" : "7,55,60\u201365", "previouslyFormattedCitation" : "&lt;sup&gt;7,55,60\u201365&lt;/sup&gt;" }, "properties" : { "noteIndex" : 0 }, "schema" : "https://github.com/citation-style-language/schema/raw/master/csl-citation.json" }</w:instrText>
      </w:r>
      <w:r w:rsidR="004F135D" w:rsidRPr="00EC5244">
        <w:rPr>
          <w:lang w:val="en-CA"/>
        </w:rPr>
        <w:fldChar w:fldCharType="separate"/>
      </w:r>
      <w:r w:rsidR="00BB4DD1" w:rsidRPr="00EC5244">
        <w:rPr>
          <w:noProof/>
          <w:vertAlign w:val="superscript"/>
          <w:lang w:val="en-CA"/>
        </w:rPr>
        <w:t>7,55,60–65</w:t>
      </w:r>
      <w:r w:rsidR="004F135D" w:rsidRPr="00EC5244">
        <w:rPr>
          <w:lang w:val="en-CA"/>
        </w:rPr>
        <w:fldChar w:fldCharType="end"/>
      </w:r>
      <w:r w:rsidRPr="00EC5244">
        <w:rPr>
          <w:lang w:val="en-CA"/>
        </w:rPr>
        <w:t xml:space="preserve"> A wealth of data has been published on the mixing propert</w:t>
      </w:r>
      <w:r w:rsidR="00F96A0A" w:rsidRPr="00EC5244">
        <w:rPr>
          <w:lang w:val="en-CA"/>
        </w:rPr>
        <w:t>ies of water-solvent-hydrotrope</w:t>
      </w:r>
      <w:r w:rsidRPr="00EC5244">
        <w:rPr>
          <w:lang w:val="en-CA"/>
        </w:rPr>
        <w:t xml:space="preserve"> that exhibit mesoscale pseudophase domains,</w:t>
      </w:r>
      <w:r w:rsidRPr="00EC5244">
        <w:rPr>
          <w:lang w:val="en-CA"/>
        </w:rPr>
        <w:fldChar w:fldCharType="begin" w:fldLock="1"/>
      </w:r>
      <w:r w:rsidR="00D63CEF" w:rsidRPr="00EC5244">
        <w:rPr>
          <w:lang w:val="en-CA"/>
        </w:rPr>
        <w:instrText>ADDIN CSL_CITATION { "citationItems" : [ { "id" : "ITEM-1",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"id" : "ITEM-1", "issue" : "16", "issued" : { "date-parts" : [ [ "2016" ] ] }, "page" : "4260-4265", "title" : "How to explain microemulsions formed by solvent mixtures without conventional surfactants", "type" : "article-journal", "volume" : "113" }, "uris" : [ "http://www.mendeley.com/documents/?uuid=8e80dbba-2c3f-4a3a-a65e-7e3fdbe3e67c" ] } ], "mendeley" : { "formattedCitation" : "&lt;sup&gt;64&lt;/sup&gt;", "plainTextFormattedCitation" : "64", "previouslyFormattedCitation" : "&lt;sup&gt;64&lt;/sup&gt;" }, "properties" : { "noteIndex" : 0 }, "schema" : "https://github.com/citation-style-language/schema/raw/master/csl-citation.json" }</w:instrText>
      </w:r>
      <w:r w:rsidRPr="00EC5244">
        <w:rPr>
          <w:lang w:val="en-CA"/>
        </w:rPr>
        <w:fldChar w:fldCharType="separate"/>
      </w:r>
      <w:r w:rsidR="00D63CEF" w:rsidRPr="00EC5244">
        <w:rPr>
          <w:noProof/>
          <w:vertAlign w:val="superscript"/>
          <w:lang w:val="en-CA"/>
        </w:rPr>
        <w:t>64</w:t>
      </w:r>
      <w:r w:rsidRPr="00EC5244">
        <w:rPr>
          <w:lang w:val="en-CA"/>
        </w:rPr>
        <w:fldChar w:fldCharType="end"/>
      </w:r>
      <w:r w:rsidRPr="00EC5244">
        <w:rPr>
          <w:lang w:val="en-CA"/>
        </w:rPr>
        <w:t xml:space="preserve"> commonly referred to as the “pre-ouzo” or “surfactant-free microemulsions.”</w:t>
      </w:r>
      <w:r w:rsidRPr="00EC5244">
        <w:rPr>
          <w:lang w:val="en-CA"/>
        </w:rPr>
        <w:fldChar w:fldCharType="begin" w:fldLock="1"/>
      </w:r>
      <w:r w:rsidR="00BB4DD1" w:rsidRPr="00EC5244">
        <w:rPr>
          <w:lang w:val="en-CA"/>
        </w:rPr>
        <w:instrText>ADDIN CSL_CITATION { "citationItems" : [ { "id" : "ITEM-1",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"ITEM-1", "issue" : "6", "issued" : { "date-parts" : [ [ "2013" ] ] }, "page" : "1665-1669", "title" : "Octanol-rich and water-rich domains in dynamic equilibrium in the pre-ouzo region of ternary systems containing a hydrotrope", "type" : "article-journal", "volume" : "46" }, "uris" : [ "http://www.mendeley.com/documents/?uuid=cc4fb429-79e5-4e24-9bcc-904ff2db4f0a" ] }, { "id" : "ITEM-2",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"ITEM-2", "issue" : "8", "issued" : { "date-parts" : [ [ "2014" ] ] }, "page" : "2909-3340", "title" : "Emergence of surfactant-free micelles from ternary solutions", "type" : "article-journal", "volume" : "5" }, "uris" : [ "http://www.mendeley.com/documents/?uuid=f5865d9c-ccb8-46bb-bcb1-2f7942864abd" ] }, { "id" : "ITEM-3", "itemData" : { "DOI" : "10.1016/j.colsurfa.2014.11.029", "ISBN" : "9419434745", "ISSN" : "09277757", "abstract" : "The theoretical description of systems with soft interfaces requires a precise definition of the interfaces that are present. Such definitions are common for interfaces of simple liquids and for surfactant assemblies like micelles, membranes, and microemulsions. Here, we focus on several possible rigorous definitions in a recently described surfactant-free microemulsion that consists of octanol, ethanol, and water, in which micelle-like aggregates are in dynamic equilibrium with the surrounding pseudo phase. We test different definitions that are based on the radial distribution functions of the components with respect to the center of these surfactant-free micelles. All definitions result in experimentally indistinguishable locations of the interface within the limits of resolution of light, X-ray, and neutron scattering experiments, since their locations differ by at most 0.4nm, which corresponds to roughly 2-3 bond lengths.", "author" : [ { "dropping-particle" : "", "family" : "Sch\u00f6ttl", "given" : "Sebastian", "non-dropping-particle" : "", "parse-names" : false, "suffix" : "" }, { "dropping-particle" : "", "family" : "Touraud", "given" : "Didier", "non-dropping-particle" : "", "parse-names" : false, "suffix" : "" }, { "dropping-particle" : "", "family" : "Kunz", "given" : "Werner", "non-dropping-particle" : "", "parse-names" : false, "suffix" : "" }, { "dropping-particle" : "", "family" : "Zemb", "given" : "Thomas", "non-dropping-particle" : "", "parse-names" : false, "suffix" : "" }, { "dropping-particle" : "", "family" : "Horinek", "given" : "Dominik", "non-dropping-particle" : "", "parse-names" : false, "suffix" : "" } ], "container-title" : "Colloids and Surfaces A: Physicochemical and Engineering Aspects", "id" : "ITEM-3", "issued" : { "date-parts" : [ [ "2015" ] ] }, "page" : "222-227", "publisher" : "Elsevier B.V.", "title" : "Consistent definitions of \u201cthe interface\u201d in surfactant-free micellar aggregates", "type" : "article-journal", "volume" : "480" }, "uris" : [ "http://www.mendeley.com/documents/?uuid=28e5a2f2-8ffb-44d0-a7df-817eb8ab6420" ] }, { "id" : "ITEM-4", "itemData" : { "DOI" : "10.1039/c5cp06364g", "ISSN" : "1463-9084", "PMID" : "26593697", "abstract" : "We study the addition of electrolytes to surfactant-free microemulsions in the domain where polydisperse pre-Ouzo aggregates are present. As in previous studies, the microemulsion is the ternary system water/ethanol/1-octanol, where ethanol acts as co-solvent. Addition of electrolytes modifies the static X-ray and neutron scattering, and dynamic light scattering patterns, as well as the position of the miscibility gap, where spontaneous emulsification occurs upon dilution with water. All observations can be rationalized considering that electrolytes are either \"salting out\" the ethanol, which is the main component of the interface stabilizing the aggregates, or producing charge separation via the antagonistic ion effect discovered by Onuki et al. Amphiphilic electrolytes, such as sodium dodecylsulfate or sodium dietheylhexylphosphate, induce a gradual transition towards monodisperse ionic micelles with their characteristic broad scattering \"peak\". In these micelles the ethanol plays then the role of a cosurfactant. Dynamic light scattering can only be understood by combination of fluctuations of aggregate concentration due to the vicinity of a critical point and in-out fluctuations of ethanol.", "author" : [ { "dropping-particle" : "", "family" : "Marcus", "given" : "J", "non-dropping-particle" : "", "parse-names" : false, "suffix" : "" }, { "dropping-particle" : "", "family" : "Touraud", "given" : "D", "non-dropping-particle" : "", "parse-names" : false, "suffix" : "" }, { "dropping-particle" : "", "family" : "Pr\u00e9vost", "given" : "S", "non-dropping-particle" : "", "parse-names" : false, "suffix" : "" }, { "dropping-particle" : "", "family" : "Diat", "given" : "O", "non-dropping-particle" : "", "parse-names" : false, "suffix" : "" }, { "dropping-particle" : "", "family" : "Zemb", "given" : "T", "non-dropping-particle" : "", "parse-names" : false, "suffix" : "" }, { "dropping-particle" : "", "family" : "Kunz", "given" : "W", "non-dropping-particle" : "", "parse-names" : false, "suffix" : "" } ], "container-title" : "Physical chemistry chemical physics : PCCP", "id" : "ITEM-4", "issue" : "48", "issued" : { "date-parts" : [ [ "2015" ] ] }, "page" : "32528-38", "publisher" : "Royal Society of Chemistry", "title" : "Influence of additives on the structure of surfactant-free microemulsions.", "type" : "article-journal", "volume" : "17" }, "uris" : [ "http://www.mendeley.com/documents/?uuid=3254b6b6-bf4c-4134-a266-060aefc772c6" ] }, { "id" : "ITEM-5",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"id" : "ITEM-5", "issue" : "16", "issued" : { "date-parts" : [ [ "2016" ] ] }, "page" : "4260-4265", "title" : "How to explain microemulsions formed by solvent mixtures without conventional surfactants", "type" : "article-journal", "volume" : "113" }, "uris" : [ "http://www.mendeley.com/documents/?uuid=8e80dbba-2c3f-4a3a-a65e-7e3fdbe3e67c" ] }, { "id" : "ITEM-6", "itemData" : { "DOI" : "10.1016/j.cocis.2016.04.002", "ISSN" : "18790399", "abstract" : "This paper gives an overview of weak aggregation due to long-range molecular forces beyond the first neighbor. Such subtle self-assemblies are an important part of modern colloidal chemistry and concern organic molecules as well as inorganic electrolytes and hybrid aggregates. Diverse aspects of such colloidal aggregations, as described in this special issue, can be characterized by the effective free energy per molecule involved. We discuss here expectations about emerging knowledge in this field and predictive modeling of inorganic as well as organic colloids and hybrid aggregates. Some still open questions are also given.", "author" : [ { "dropping-particle" : "", "family" : "Zemb", "given" : "Thomas", "non-dropping-particle" : "", "parse-names" : false, "suffix" : "" }, { "dropping-particle" : "", "family" : "Kunz", "given" : "Werner", "non-dropping-particle" : "", "parse-names" : false, "suffix" : "" } ], "container-title" : "Current Opinion in Colloid and Interface Science", "id" : "ITEM-6", "issued" : { "date-parts" : [ [ "2016" ] ] }, "page" : "113-119", "publisher" : "Elsevier Ltd", "title" : "Weak aggregation: State of the art, expectations and open questions", "type" : "article-journal", "volume" : "22" }, "uris" : [ "http://www.mendeley.com/documents/?uuid=b0efcade-f2a1-452d-ad33-6d11544b772e" ] }, { "id" : "ITEM-7",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"ITEM-7", "issued" : { "date-parts" : [ [ "2016" ] ] }, "page" : "99-107", "title" : "Hydrotropes", "type" : "article-journal", "volume" : "22" }, "uris" : [ "http://www.mendeley.com/documents/?uuid=c63892f6-f40b-4433-a7ae-392ad4c78409" ] }, { "id" : "ITEM-8", "itemData" : { "DOI" : "10.1039/C6CP06696H", "ISSN" : "1463-9076", "abstract" : "In the present contribution, the pre-structuring of binary mixtures of hydrotropes and H2O is linked to the solubilisation of poorly water miscible compounds. We have chosen a series of short-chain alcohols as hydrotropes and benzyl alcohol, limonene and a hydrophobic azo-dye (Disperse Red 13) as organic compounds to be dissolved. A very weak pre-structuring is found for ethanol/H2O and 2-propanol/H2O mixtures. Pre-structuring is most developed for binary 1-propanol/H2O and tert-butanol/H2O mixtures and supports the bicontinuity model of alcohol-rich and water-rich domains as already postulated by Anisimov et al. Such a pre-structuring leads to a high solubilisation power for poorly water miscible components (limonene and Disperse Red, characterized by high octanol/water partition coefficients, log(P) values of 4.5 and 4.85), whereas a very weak pre-structuring leads to a high solubilisation power for slightly water miscible components (benzyl alcohol). This difference in solubilisation power can be linked to (i) the formation of mesoscale structures in the cases of ethanol and 2-propanol and (ii) the extension of pre-structures in the cases of 1-propanol and tert-butanol. Three different solubilisation mechanisms could be identified: bulk solubilisation, interface solubilisation and a combination of both. These supramolecular structures in binary and ternary systems were investigated by small-and-wide-angle X-ray and neutron scattering, dynamic light scattering and conductivity measurements (in the presence of small amounts of salt).", "author" : [ { "dropping-particle" : "", "family" : "Buchecker", "given" : "Thomas", "non-dropping-particle" : "", "parse-names" : false, "suffix" : "" }, { "dropping-particle" : "", "family" : "Krickl", "given" : "Sebastian", "non-dropping-particle" : "", "parse-names" : false, "suffix" : "" }, { "dropping-particle" : "", "family" : "Winkler", "given" : "Robert", "non-dropping-particle" : "", "parse-names" : false, "suffix" : "" }, { "dropping-particle" : "", "family" : "Grillo", "given" : "Isabelle", "non-dropping-particle" : "", "parse-names" : false, "suffix" : "" }, { "dropping-particle" : "", "family" : "Bauduin", "given" : "Pierre", "non-dropping-particle" : "", "parse-names" : false, "suffix" : "" }, { "dropping-particle" : "", "family" : "Touraud", "given" : "Didier", "non-dropping-particle" : "", "parse-names" : false, "suffix" : "" }, { "dropping-particle" : "", "family" : "Pfitzner", "given" : "Arno", "non-dropping-particle" : "", "parse-names" : false, "suffix" : "" }, { "dropping-particle" : "", "family" : "Kunz", "given" : "Werner", "non-dropping-particle" : "", "parse-names" : false, "suffix" : "" }, { "dropping-particle" : "", "family" : "Cubitt", "given" : "R.", "non-dropping-particle" : "", "parse-names" : false, "suffix" : "" }, { "dropping-particle" : "", "family" : "Marelja", "given" : "S.", "non-dropping-particle" : "", "parse-names" : false, "suffix" : "" }, { "dropping-particle" : "", "family" : "Kunz", "given" : "W.", "non-dropping-particle" : "", "parse-names" : false, "suffix" : "" } ], "container-title" : "Phys. Chem. Chem. Phys.", "id" : "ITEM-8", "issue" : "3", "issued" : { "date-parts" : [ [ "2017" ] ] }, "page" : "1806-1816", "publisher" : "The Royal Society of Chemistry", "title" : "The impact of the structuring of hydrotropes in water on the mesoscale solubilisation of a third hydrophobic component", "type" : "article-journal", "volume" : "19" }, "uris" : [ "http://www.mendeley.com/documents/?uuid=e46e28c7-f3ae-377d-8317-fe42ef858478" ] } ], "mendeley" : { "formattedCitation" : "&lt;sup&gt;7,55,60\u201365&lt;/sup&gt;", "plainTextFormattedCitation" : "7,55,60\u201365", "previouslyFormattedCitation" : "&lt;sup&gt;7,55,60\u201365&lt;/sup&gt;" }, "properties" : { "noteIndex" : 0 }, "schema" : "https://github.com/citation-style-language/schema/raw/master/csl-citation.json" }</w:instrText>
      </w:r>
      <w:r w:rsidRPr="00EC5244">
        <w:rPr>
          <w:lang w:val="en-CA"/>
        </w:rPr>
        <w:fldChar w:fldCharType="separate"/>
      </w:r>
      <w:r w:rsidR="00BB4DD1" w:rsidRPr="00EC5244">
        <w:rPr>
          <w:noProof/>
          <w:vertAlign w:val="superscript"/>
          <w:lang w:val="en-CA"/>
        </w:rPr>
        <w:t>7,55,60–65</w:t>
      </w:r>
      <w:r w:rsidRPr="00EC5244">
        <w:rPr>
          <w:lang w:val="en-CA"/>
        </w:rPr>
        <w:fldChar w:fldCharType="end"/>
      </w:r>
      <w:r w:rsidRPr="00EC5244">
        <w:rPr>
          <w:lang w:val="en-CA"/>
        </w:rPr>
        <w:t xml:space="preserve"> Here we show statistical thermodynamic principles can bring insights into the apparent complexity.</w:t>
      </w:r>
    </w:p>
    <w:p w14:paraId="43C78819" w14:textId="77777777" w:rsidR="000A6D5D" w:rsidRPr="00EC5244" w:rsidRDefault="000A6D5D" w:rsidP="000A6D5D">
      <w:pPr>
        <w:pStyle w:val="TAMainText"/>
        <w:ind w:firstLine="0"/>
        <w:rPr>
          <w:lang w:val="en-CA"/>
        </w:rPr>
      </w:pPr>
    </w:p>
    <w:p w14:paraId="6D89F282" w14:textId="45FECCE8" w:rsidR="000A6D5D" w:rsidRPr="00EC5244" w:rsidRDefault="000A6D5D" w:rsidP="00DE289E">
      <w:pPr>
        <w:pStyle w:val="TAMainText"/>
        <w:rPr>
          <w:lang w:val="en-CA"/>
        </w:rPr>
      </w:pPr>
      <w:r w:rsidRPr="00EC5244">
        <w:rPr>
          <w:lang w:val="en-CA"/>
        </w:rPr>
        <w:t>Extending our theory to the 4-component system, we obtain the following hydrotrope (</w:t>
      </w:r>
      <m:oMath>
        <m:r>
          <w:rPr>
            <w:rFonts w:ascii="Cambria Math" w:hAnsi="Cambria Math"/>
            <w:lang w:val="en-CA"/>
          </w:rPr>
          <m:t>i=3</m:t>
        </m:r>
      </m:oMath>
      <w:r w:rsidRPr="00EC5244">
        <w:rPr>
          <w:lang w:val="en-CA"/>
        </w:rPr>
        <w:t>) concentration dependence of the solute chemical potential:</w:t>
      </w:r>
      <w:r w:rsidRPr="00EC5244">
        <w:rPr>
          <w:lang w:val="en-CA"/>
        </w:rPr>
        <w:fldChar w:fldCharType="begin" w:fldLock="1"/>
      </w:r>
      <w:r w:rsidR="00BB4DD1" w:rsidRPr="00EC5244">
        <w:rPr>
          <w:lang w:val="en-CA"/>
        </w:rPr>
        <w:instrText>ADDIN CSL_CITATION { "citationItems" : [ { "id" : "ITEM-1", "itemData" : { "author" : [ { "dropping-particle" : "", "family" : "Ben-Naim", "given" : "Arieh", "non-dropping-particle" : "", "parse-names" : false, "suffix" : "" } ], "id" : "ITEM-1", "issued" : { "date-parts" : [ [ "2006" ] ] }, "publisher" : "Oxford University Press", "publisher-place" : "Oxford", "title" : "Molecular Theory of Solutions", "type" : "book" }, "uris" : [ "http://www.mendeley.com/documents/?uuid=c69c8ec7-b100-38af-a990-6baa3f6c9810" ] }, { "id" : "ITEM-2", "itemData" : { "abstract" : "A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 "author" : [ { "dropping-particle" : "", "family" : "Smith", "given" : "Paul E.", "non-dropping-particle" : "", "parse-names" : false, "suffix" : "" } ], "container-title" : "Journal of Chemical Physics", "id" : "ITEM-2", "issue" : "12", "issued" : { "date-parts" : [ [ "2008" ] ] }, "page" : "124509", "title" : "On the Kirkwood-Buff inversion procedure", "type" : "article-journal", "volume" : "129" }, "uris" : [ "http://www.mendeley.com/documents/?uuid=7c36a8c1-0c6c-4bc9-a2ee-64b56b48bd12" ] }, { "id" : "ITEM-3", "itemData" : { "author" : [ { "dropping-particle" : "", "family" : "Gazzillo", "given" : "Domeniko", "non-dropping-particle" : "", "parse-names" : false, "suffix" : "" } ], "container-title" : "Molecular Physics", "id" : "ITEM-3",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"&lt;sup&gt;50\u201352&lt;/sup&gt;", "plainTextFormattedCitation" : "50\u201352", "previouslyFormattedCitation" : "&lt;sup&gt;50\u201352&lt;/sup&gt;" }, "properties" : { "noteIndex" : 0 }, "schema" : "https://github.com/citation-style-language/schema/raw/master/csl-citation.json" }</w:instrText>
      </w:r>
      <w:r w:rsidRPr="00EC5244">
        <w:rPr>
          <w:lang w:val="en-CA"/>
        </w:rPr>
        <w:fldChar w:fldCharType="separate"/>
      </w:r>
      <w:r w:rsidRPr="00EC5244">
        <w:rPr>
          <w:noProof/>
          <w:vertAlign w:val="superscript"/>
          <w:lang w:val="en-CA"/>
        </w:rPr>
        <w:t>50–52</w:t>
      </w:r>
      <w:r w:rsidRPr="00EC5244">
        <w:rPr>
          <w:lang w:val="en-CA"/>
        </w:rPr>
        <w:fldChar w:fldCharType="end"/>
      </w:r>
      <w:r w:rsidRPr="00EC5244">
        <w:rPr>
          <w:lang w:val="en-CA"/>
        </w:rPr>
        <w:t xml:space="preserve">   </w:t>
      </w:r>
    </w:p>
    <w:p w14:paraId="6029680D" w14:textId="3042B1E8" w:rsidR="000A6D5D" w:rsidRPr="00EC5244" w:rsidRDefault="000C7FF6" w:rsidP="000A6D5D">
      <w:pPr>
        <w:pStyle w:val="TAMainText"/>
        <w:rPr>
          <w:lang w:val="en-CA"/>
        </w:rPr>
      </w:pPr>
      <m:oMath>
        <m:f>
          <m:fPr>
            <m:ctrlPr>
              <w:rPr>
                <w:rFonts w:ascii="Cambria Math" w:hAnsi="Cambria Math"/>
                <w:i/>
                <w:lang w:val="en-CA"/>
              </w:rPr>
            </m:ctrlPr>
          </m:fPr>
          <m:num>
            <m:r>
              <w:rPr>
                <w:rFonts w:ascii="Cambria Math" w:hAnsi="Cambria Math"/>
                <w:lang w:val="en-CA"/>
              </w:rPr>
              <m:t>1</m:t>
            </m:r>
          </m:num>
          <m:den>
            <m:r>
              <w:rPr>
                <w:rFonts w:ascii="Cambria Math" w:hAnsi="Cambria Math"/>
                <w:lang w:val="en-CA"/>
              </w:rPr>
              <m:t>RT</m:t>
            </m:r>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3</m:t>
                        </m:r>
                      </m:sub>
                    </m:sSub>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j≠3</m:t>
                </m:r>
              </m:sub>
            </m:sSub>
          </m:sub>
        </m:sSub>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u3</m:t>
                </m:r>
              </m:sup>
            </m:sSup>
          </m:num>
          <m:den>
            <m:d>
              <m:dPr>
                <m:begChr m:val="|"/>
                <m:endChr m:val="|"/>
                <m:ctrlPr>
                  <w:rPr>
                    <w:rFonts w:ascii="Cambria Math" w:hAnsi="Cambria Math"/>
                    <w:i/>
                    <w:lang w:val="en-CA"/>
                  </w:rPr>
                </m:ctrlPr>
              </m:dPr>
              <m:e>
                <m:r>
                  <w:rPr>
                    <w:rFonts w:ascii="Cambria Math" w:hAnsi="Cambria Math"/>
                    <w:lang w:val="en-CA"/>
                  </w:rPr>
                  <m:t>B</m:t>
                </m:r>
              </m:e>
            </m:d>
          </m:den>
        </m:f>
      </m:oMath>
      <w:r w:rsidR="000A6D5D" w:rsidRPr="00EC5244">
        <w:rPr>
          <w:lang w:val="en-CA"/>
        </w:rPr>
        <w:tab/>
      </w:r>
      <w:r w:rsidR="000A6D5D" w:rsidRPr="00EC5244">
        <w:rPr>
          <w:lang w:val="en-CA"/>
        </w:rPr>
        <w:tab/>
      </w:r>
      <w:r w:rsidR="000A6D5D" w:rsidRPr="00EC5244">
        <w:rPr>
          <w:lang w:val="en-CA"/>
        </w:rPr>
        <w:tab/>
      </w:r>
      <w:r w:rsidR="000A6D5D" w:rsidRPr="00EC5244">
        <w:rPr>
          <w:lang w:val="en-CA"/>
        </w:rPr>
        <w:tab/>
      </w:r>
      <w:r w:rsidR="000A6D5D" w:rsidRPr="00EC5244">
        <w:rPr>
          <w:lang w:val="en-CA"/>
        </w:rPr>
        <w:tab/>
      </w:r>
      <w:r w:rsidR="000A6D5D" w:rsidRPr="00EC5244">
        <w:rPr>
          <w:lang w:val="en-CA"/>
        </w:rPr>
        <w:tab/>
      </w:r>
      <w:r w:rsidR="000A6D5D" w:rsidRPr="00EC5244">
        <w:rPr>
          <w:lang w:val="en-CA"/>
        </w:rPr>
        <w:tab/>
      </w:r>
      <w:r w:rsidR="00C23070" w:rsidRPr="00EC5244">
        <w:rPr>
          <w:lang w:val="en-CA"/>
        </w:rPr>
        <w:tab/>
      </w:r>
      <w:r w:rsidR="000A6D5D" w:rsidRPr="00EC5244">
        <w:rPr>
          <w:lang w:val="en-CA"/>
        </w:rPr>
        <w:tab/>
      </w:r>
      <w:r w:rsidR="000A6D5D" w:rsidRPr="00EC5244">
        <w:rPr>
          <w:lang w:val="en-CA"/>
        </w:rPr>
        <w:tab/>
        <w:t>(17)</w:t>
      </w:r>
    </w:p>
    <w:p w14:paraId="2F899A42" w14:textId="3F49C6E1" w:rsidR="000A6D5D" w:rsidRPr="00EC5244" w:rsidRDefault="000A6D5D" w:rsidP="000A6D5D">
      <w:pPr>
        <w:pStyle w:val="TAMainText"/>
        <w:ind w:firstLine="0"/>
        <w:rPr>
          <w:lang w:val="en-CA"/>
        </w:rPr>
      </w:pPr>
      <w:r w:rsidRPr="00EC5244">
        <w:rPr>
          <w:lang w:val="en-CA"/>
        </w:rPr>
        <w:t xml:space="preserve">where the cofactor </w:t>
      </w:r>
      <m:oMath>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u3</m:t>
            </m:r>
          </m:sup>
        </m:sSup>
      </m:oMath>
      <w:r w:rsidRPr="00EC5244">
        <w:rPr>
          <w:lang w:val="en-CA"/>
        </w:rPr>
        <w:t xml:space="preserve"> </w:t>
      </w:r>
      <w:r w:rsidR="00C23070" w:rsidRPr="00EC5244">
        <w:rPr>
          <w:lang w:val="en-CA"/>
        </w:rPr>
        <w:t xml:space="preserve">is defined as </w:t>
      </w:r>
    </w:p>
    <w:p w14:paraId="286AF63D" w14:textId="0697F938" w:rsidR="00BC5709" w:rsidRPr="00EC5244" w:rsidRDefault="000C7FF6" w:rsidP="00BC5709">
      <w:pPr>
        <w:pStyle w:val="TAMainText"/>
        <w:ind w:firstLine="0"/>
        <w:rPr>
          <w:lang w:val="en-CA"/>
        </w:rPr>
      </w:pPr>
      <m:oMath>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u3</m:t>
            </m:r>
          </m:sup>
        </m:sSup>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u1</m:t>
            </m:r>
          </m:sub>
        </m:sSub>
        <m:d>
          <m:dPr>
            <m:begChr m:val="|"/>
            <m:endChr m:val="|"/>
            <m:ctrlPr>
              <w:rPr>
                <w:rFonts w:ascii="Cambria Math" w:hAnsi="Cambria Math"/>
                <w:i/>
                <w:lang w:val="en-CA"/>
              </w:rPr>
            </m:ctrlPr>
          </m:dPr>
          <m:e>
            <m:m>
              <m:mPr>
                <m:mcs>
                  <m:mc>
                    <m:mcPr>
                      <m:count m:val="2"/>
                      <m:mcJc m:val="center"/>
                    </m:mcPr>
                  </m:mc>
                </m:mcs>
                <m:ctrlPr>
                  <w:rPr>
                    <w:rFonts w:ascii="Cambria Math" w:hAnsi="Cambria Math"/>
                    <w:i/>
                    <w:lang w:val="en-CA"/>
                  </w:rPr>
                </m:ctrlPr>
              </m:mP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22</m:t>
                      </m:r>
                    </m:sub>
                  </m:sSub>
                </m:e>
              </m:m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32</m:t>
                      </m:r>
                    </m:sub>
                  </m:sSub>
                </m:e>
              </m:mr>
            </m:m>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u2</m:t>
            </m:r>
          </m:sub>
        </m:sSub>
        <m:d>
          <m:dPr>
            <m:begChr m:val="|"/>
            <m:endChr m:val="|"/>
            <m:ctrlPr>
              <w:rPr>
                <w:rFonts w:ascii="Cambria Math" w:hAnsi="Cambria Math"/>
                <w:i/>
                <w:lang w:val="en-CA"/>
              </w:rPr>
            </m:ctrlPr>
          </m:dPr>
          <m:e>
            <m:m>
              <m:mPr>
                <m:mcs>
                  <m:mc>
                    <m:mcPr>
                      <m:count m:val="2"/>
                      <m:mcJc m:val="center"/>
                    </m:mcPr>
                  </m:mc>
                </m:mcs>
                <m:ctrlPr>
                  <w:rPr>
                    <w:rFonts w:ascii="Cambria Math" w:hAnsi="Cambria Math"/>
                    <w:i/>
                    <w:lang w:val="en-CA"/>
                  </w:rPr>
                </m:ctrlPr>
              </m:mP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e>
              </m:m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32</m:t>
                      </m:r>
                    </m:sub>
                  </m:sSub>
                </m:e>
              </m:mr>
            </m:m>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u3</m:t>
            </m:r>
          </m:sub>
        </m:sSub>
        <m:d>
          <m:dPr>
            <m:begChr m:val="|"/>
            <m:endChr m:val="|"/>
            <m:ctrlPr>
              <w:rPr>
                <w:rFonts w:ascii="Cambria Math" w:hAnsi="Cambria Math"/>
                <w:i/>
                <w:lang w:val="en-CA"/>
              </w:rPr>
            </m:ctrlPr>
          </m:dPr>
          <m:e>
            <m:m>
              <m:mPr>
                <m:mcs>
                  <m:mc>
                    <m:mcPr>
                      <m:count m:val="2"/>
                      <m:mcJc m:val="center"/>
                    </m:mcPr>
                  </m:mc>
                </m:mcs>
                <m:ctrlPr>
                  <w:rPr>
                    <w:rFonts w:ascii="Cambria Math" w:hAnsi="Cambria Math"/>
                    <w:i/>
                    <w:lang w:val="en-CA"/>
                  </w:rPr>
                </m:ctrlPr>
              </m:mP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e>
              </m:m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22</m:t>
                      </m:r>
                    </m:sub>
                  </m:sSub>
                </m:e>
              </m:mr>
            </m:m>
          </m:e>
        </m:d>
      </m:oMath>
      <w:r w:rsidR="00BC5709" w:rsidRPr="00EC5244">
        <w:rPr>
          <w:lang w:val="en-CA"/>
        </w:rPr>
        <w:tab/>
      </w:r>
      <w:r w:rsidR="00BC5709" w:rsidRPr="00EC5244">
        <w:rPr>
          <w:lang w:val="en-CA"/>
        </w:rPr>
        <w:tab/>
      </w:r>
      <w:r w:rsidR="00BC5709" w:rsidRPr="00EC5244">
        <w:rPr>
          <w:lang w:val="en-CA"/>
        </w:rPr>
        <w:tab/>
      </w:r>
      <w:r w:rsidR="00C23070" w:rsidRPr="00EC5244">
        <w:rPr>
          <w:lang w:val="en-CA"/>
        </w:rPr>
        <w:tab/>
        <w:t>(18</w:t>
      </w:r>
      <w:r w:rsidR="00BC5709" w:rsidRPr="00EC5244">
        <w:rPr>
          <w:lang w:val="en-CA"/>
        </w:rPr>
        <w:t>)</w:t>
      </w:r>
    </w:p>
    <w:p w14:paraId="77B9A45D" w14:textId="2376E2B9" w:rsidR="003C280E" w:rsidRPr="00EC5244" w:rsidRDefault="003F16D5" w:rsidP="000A6D5D">
      <w:pPr>
        <w:pStyle w:val="TAMainText"/>
        <w:ind w:firstLine="0"/>
        <w:rPr>
          <w:lang w:val="en-CA"/>
        </w:rPr>
      </w:pPr>
      <w:r w:rsidRPr="00EC5244">
        <w:rPr>
          <w:lang w:val="en-CA"/>
        </w:rPr>
        <w:t>Note that, due to Schwartz inequality,</w:t>
      </w:r>
      <w:r w:rsidR="003C280E" w:rsidRPr="00EC5244">
        <w:rPr>
          <w:lang w:val="en-CA"/>
        </w:rPr>
        <w:t xml:space="preserve"> we can show that </w:t>
      </w:r>
    </w:p>
    <w:p w14:paraId="7C0000A9" w14:textId="1E1827DE" w:rsidR="003C280E" w:rsidRPr="00EC5244" w:rsidRDefault="003F16D5" w:rsidP="000A6D5D">
      <w:pPr>
        <w:pStyle w:val="TAMainText"/>
        <w:ind w:firstLine="0"/>
        <w:rPr>
          <w:lang w:val="en-CA"/>
        </w:rPr>
      </w:pPr>
      <w:r w:rsidRPr="00EC5244">
        <w:rPr>
          <w:lang w:val="en-CA"/>
        </w:rPr>
        <w:t xml:space="preserve">  </w:t>
      </w:r>
      <m:oMath>
        <m:d>
          <m:dPr>
            <m:begChr m:val="|"/>
            <m:endChr m:val="|"/>
            <m:ctrlPr>
              <w:rPr>
                <w:rFonts w:ascii="Cambria Math" w:hAnsi="Cambria Math"/>
                <w:i/>
                <w:lang w:val="en-CA"/>
              </w:rPr>
            </m:ctrlPr>
          </m:dPr>
          <m:e>
            <m:m>
              <m:mPr>
                <m:mcs>
                  <m:mc>
                    <m:mcPr>
                      <m:count m:val="2"/>
                      <m:mcJc m:val="center"/>
                    </m:mcPr>
                  </m:mc>
                </m:mcs>
                <m:ctrlPr>
                  <w:rPr>
                    <w:rFonts w:ascii="Cambria Math" w:hAnsi="Cambria Math"/>
                    <w:i/>
                    <w:lang w:val="en-CA"/>
                  </w:rPr>
                </m:ctrlPr>
              </m:mP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e>
              </m:m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22</m:t>
                      </m:r>
                    </m:sub>
                  </m:sSub>
                </m:e>
              </m:mr>
            </m:m>
          </m:e>
        </m:d>
        <m:r>
          <w:rPr>
            <w:rFonts w:ascii="Cambria Math" w:hAnsi="Cambria Math"/>
            <w:lang w:val="en-CA"/>
          </w:rPr>
          <m:t>&gt;0</m:t>
        </m:r>
      </m:oMath>
      <w:r w:rsidR="003C280E" w:rsidRPr="00EC5244">
        <w:rPr>
          <w:lang w:val="en-CA"/>
        </w:rPr>
        <w:t xml:space="preserve"> </w:t>
      </w:r>
      <w:r w:rsidR="003C280E" w:rsidRPr="00EC5244">
        <w:rPr>
          <w:lang w:val="en-CA"/>
        </w:rPr>
        <w:tab/>
      </w:r>
      <w:r w:rsidR="003C280E" w:rsidRPr="00EC5244">
        <w:rPr>
          <w:lang w:val="en-CA"/>
        </w:rPr>
        <w:tab/>
      </w:r>
      <w:r w:rsidR="003C280E" w:rsidRPr="00EC5244">
        <w:rPr>
          <w:lang w:val="en-CA"/>
        </w:rPr>
        <w:tab/>
      </w:r>
      <w:r w:rsidR="003C280E" w:rsidRPr="00EC5244">
        <w:rPr>
          <w:lang w:val="en-CA"/>
        </w:rPr>
        <w:tab/>
      </w:r>
      <w:r w:rsidR="003C280E" w:rsidRPr="00EC5244">
        <w:rPr>
          <w:lang w:val="en-CA"/>
        </w:rPr>
        <w:tab/>
      </w:r>
      <w:r w:rsidR="00311853" w:rsidRPr="00EC5244">
        <w:rPr>
          <w:lang w:val="en-CA"/>
        </w:rPr>
        <w:tab/>
      </w:r>
      <w:r w:rsidR="00311853" w:rsidRPr="00EC5244">
        <w:rPr>
          <w:lang w:val="en-CA"/>
        </w:rPr>
        <w:tab/>
      </w:r>
      <w:r w:rsidR="00311853" w:rsidRPr="00EC5244">
        <w:rPr>
          <w:lang w:val="en-CA"/>
        </w:rPr>
        <w:tab/>
      </w:r>
      <w:r w:rsidR="003C280E" w:rsidRPr="00EC5244">
        <w:rPr>
          <w:lang w:val="en-CA"/>
        </w:rPr>
        <w:tab/>
      </w:r>
      <w:r w:rsidR="003C280E" w:rsidRPr="00EC5244">
        <w:rPr>
          <w:lang w:val="en-CA"/>
        </w:rPr>
        <w:tab/>
      </w:r>
      <w:r w:rsidR="00827696" w:rsidRPr="00EC5244">
        <w:rPr>
          <w:lang w:val="en-CA"/>
        </w:rPr>
        <w:t>(19</w:t>
      </w:r>
      <w:r w:rsidR="003C280E" w:rsidRPr="00EC5244">
        <w:rPr>
          <w:lang w:val="en-CA"/>
        </w:rPr>
        <w:t>)</w:t>
      </w:r>
    </w:p>
    <w:p w14:paraId="20FE429A" w14:textId="2A2DB3C3" w:rsidR="003F16D5" w:rsidRPr="00EC5244" w:rsidRDefault="003C280E" w:rsidP="000A6D5D">
      <w:pPr>
        <w:pStyle w:val="TAMainText"/>
        <w:ind w:firstLine="0"/>
        <w:rPr>
          <w:lang w:val="en-CA"/>
        </w:rPr>
      </w:pPr>
      <w:r w:rsidRPr="00EC5244">
        <w:rPr>
          <w:lang w:val="en-CA"/>
        </w:rPr>
        <w:t xml:space="preserve"> </w:t>
      </w:r>
    </w:p>
    <w:p w14:paraId="72F93C65" w14:textId="18B046BA" w:rsidR="003D48EE" w:rsidRPr="00EC5244" w:rsidRDefault="006743F8" w:rsidP="00C222A8">
      <w:pPr>
        <w:pStyle w:val="TAMainText"/>
        <w:rPr>
          <w:lang w:val="en-CA"/>
        </w:rPr>
      </w:pPr>
      <w:r w:rsidRPr="00EC5244">
        <w:rPr>
          <w:b/>
          <w:lang w:val="en-CA"/>
        </w:rPr>
        <w:t xml:space="preserve">(i) </w:t>
      </w:r>
      <w:r w:rsidR="00F6371C" w:rsidRPr="00EC5244">
        <w:rPr>
          <w:b/>
          <w:lang w:val="en-CA"/>
        </w:rPr>
        <w:t>S</w:t>
      </w:r>
      <w:r w:rsidR="00311853" w:rsidRPr="00EC5244">
        <w:rPr>
          <w:b/>
          <w:lang w:val="en-CA"/>
        </w:rPr>
        <w:t xml:space="preserve">olute-hydrotrope interaction, </w:t>
      </w:r>
      <m:oMath>
        <m:sSub>
          <m:sSubPr>
            <m:ctrlPr>
              <w:rPr>
                <w:rFonts w:ascii="Cambria Math" w:hAnsi="Cambria Math"/>
                <w:b/>
                <w:i/>
                <w:lang w:val="en-CA"/>
              </w:rPr>
            </m:ctrlPr>
          </m:sSubPr>
          <m:e>
            <m:r>
              <m:rPr>
                <m:sty m:val="bi"/>
              </m:rPr>
              <w:rPr>
                <w:rFonts w:ascii="Cambria Math" w:hAnsi="Cambria Math"/>
                <w:lang w:val="en-CA"/>
              </w:rPr>
              <m:t>G</m:t>
            </m:r>
          </m:e>
          <m:sub>
            <m:r>
              <m:rPr>
                <m:sty m:val="bi"/>
              </m:rPr>
              <w:rPr>
                <w:rFonts w:ascii="Cambria Math" w:hAnsi="Cambria Math"/>
                <w:lang w:val="en-CA"/>
              </w:rPr>
              <m:t>u</m:t>
            </m:r>
            <m:r>
              <m:rPr>
                <m:sty m:val="bi"/>
              </m:rPr>
              <w:rPr>
                <w:rFonts w:ascii="Cambria Math" w:hAnsi="Cambria Math"/>
                <w:lang w:val="en-CA"/>
              </w:rPr>
              <m:t>3</m:t>
            </m:r>
          </m:sub>
        </m:sSub>
      </m:oMath>
      <w:r w:rsidR="00311853" w:rsidRPr="00EC5244">
        <w:rPr>
          <w:b/>
          <w:lang w:val="en-CA"/>
        </w:rPr>
        <w:t xml:space="preserve">. </w:t>
      </w:r>
      <w:r w:rsidR="00311853" w:rsidRPr="00EC5244">
        <w:rPr>
          <w:lang w:val="en-CA"/>
        </w:rPr>
        <w:t>Thanks</w:t>
      </w:r>
      <w:r w:rsidR="00827696" w:rsidRPr="00EC5244">
        <w:rPr>
          <w:lang w:val="en-CA"/>
        </w:rPr>
        <w:t xml:space="preserve"> to Schwartz inequality (Eq. (19</w:t>
      </w:r>
      <w:r w:rsidR="00311853" w:rsidRPr="00EC5244">
        <w:rPr>
          <w:lang w:val="en-CA"/>
        </w:rPr>
        <w:t>)), a favourable s</w:t>
      </w:r>
      <w:r w:rsidR="008D6F6F" w:rsidRPr="00EC5244">
        <w:rPr>
          <w:lang w:val="en-CA"/>
        </w:rPr>
        <w:t xml:space="preserve">olute-hydrotrope </w:t>
      </w:r>
      <w:r w:rsidR="00311853" w:rsidRPr="00EC5244">
        <w:rPr>
          <w:lang w:val="en-CA"/>
        </w:rPr>
        <w:t xml:space="preserve">interaction, namely a large positive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u3</m:t>
            </m:r>
          </m:sub>
        </m:sSub>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B</m:t>
                </m:r>
              </m:e>
              <m:sub>
                <m:r>
                  <w:rPr>
                    <w:rFonts w:ascii="Cambria Math" w:hAnsi="Cambria Math" w:cs="Cambria Math"/>
                    <w:lang w:val="en-CA"/>
                  </w:rPr>
                  <m:t>u</m:t>
                </m:r>
                <m:r>
                  <w:rPr>
                    <w:rFonts w:ascii="Cambria Math" w:hAnsi="Cambria Math"/>
                    <w:lang w:val="en-CA"/>
                  </w:rPr>
                  <m:t>3</m:t>
                </m:r>
              </m:sub>
            </m:sSub>
          </m:num>
          <m:den>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3</m:t>
                </m:r>
              </m:sub>
            </m:sSub>
          </m:den>
        </m:f>
      </m:oMath>
      <w:r w:rsidR="00311853" w:rsidRPr="00EC5244">
        <w:rPr>
          <w:lang w:val="en-CA"/>
        </w:rPr>
        <w:t xml:space="preserve">,  leads to solubilization (negative </w:t>
      </w:r>
      <m:oMath>
        <m:f>
          <m:fPr>
            <m:ctrlPr>
              <w:rPr>
                <w:rFonts w:ascii="Cambria Math" w:hAnsi="Cambria Math"/>
                <w:i/>
                <w:lang w:val="en-CA"/>
              </w:rPr>
            </m:ctrlPr>
          </m:fPr>
          <m:num>
            <m:r>
              <w:rPr>
                <w:rFonts w:ascii="Cambria Math" w:hAnsi="Cambria Math"/>
                <w:lang w:val="en-CA"/>
              </w:rPr>
              <m:t>1</m:t>
            </m:r>
          </m:num>
          <m:den>
            <m:r>
              <w:rPr>
                <w:rFonts w:ascii="Cambria Math" w:hAnsi="Cambria Math"/>
                <w:lang w:val="en-CA"/>
              </w:rPr>
              <m:t>RT</m:t>
            </m:r>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3</m:t>
                        </m:r>
                      </m:sub>
                    </m:sSub>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j≠3</m:t>
                </m:r>
              </m:sub>
            </m:sSub>
          </m:sub>
        </m:sSub>
      </m:oMath>
      <w:r w:rsidR="00311853" w:rsidRPr="00EC5244">
        <w:rPr>
          <w:lang w:val="en-CA"/>
        </w:rPr>
        <w:t xml:space="preserve">). </w:t>
      </w:r>
    </w:p>
    <w:p w14:paraId="6E53BC6F" w14:textId="2C539322" w:rsidR="003D48EE" w:rsidRPr="00EC5244" w:rsidRDefault="003D48EE" w:rsidP="000A6D5D">
      <w:pPr>
        <w:pStyle w:val="TAMainText"/>
        <w:ind w:firstLine="0"/>
        <w:rPr>
          <w:lang w:val="en-CA"/>
        </w:rPr>
      </w:pPr>
    </w:p>
    <w:p w14:paraId="1D40426A" w14:textId="680F9A34" w:rsidR="00F410C9" w:rsidRPr="00EC5244" w:rsidRDefault="002D7218" w:rsidP="00DE289E">
      <w:pPr>
        <w:pStyle w:val="TAMainText"/>
        <w:rPr>
          <w:lang w:val="en-CA"/>
        </w:rPr>
      </w:pPr>
      <w:r w:rsidRPr="00EC5244">
        <w:rPr>
          <w:b/>
          <w:lang w:val="en-CA"/>
        </w:rPr>
        <w:t>(ii</w:t>
      </w:r>
      <w:r w:rsidR="006743F8" w:rsidRPr="00EC5244">
        <w:rPr>
          <w:b/>
          <w:lang w:val="en-CA"/>
        </w:rPr>
        <w:t xml:space="preserve">) </w:t>
      </w:r>
      <w:r w:rsidR="00C82C0C" w:rsidRPr="00EC5244">
        <w:rPr>
          <w:b/>
          <w:lang w:val="en-CA"/>
        </w:rPr>
        <w:t>Further solubilization through solute-solvent interaction</w:t>
      </w:r>
      <w:r w:rsidR="00F410C9" w:rsidRPr="00EC5244">
        <w:rPr>
          <w:b/>
          <w:lang w:val="en-CA"/>
        </w:rPr>
        <w:t>.</w:t>
      </w:r>
      <w:r w:rsidR="00F410C9" w:rsidRPr="00EC5244">
        <w:rPr>
          <w:lang w:val="en-CA"/>
        </w:rPr>
        <w:t xml:space="preserve"> Since two solvents are immicible, a large negative </w:t>
      </w: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1</m:t>
            </m:r>
          </m:sub>
        </m:sSub>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12</m:t>
            </m:r>
          </m:sub>
        </m:sSub>
      </m:oMath>
      <w:r w:rsidR="00C82C0C" w:rsidRPr="00EC5244">
        <w:rPr>
          <w:lang w:val="en-CA"/>
        </w:rPr>
        <w:t xml:space="preserve"> is expected from the first two terms of Eq. (18).</w:t>
      </w:r>
      <w:r w:rsidR="00F410C9" w:rsidRPr="00EC5244">
        <w:rPr>
          <w:lang w:val="en-CA"/>
        </w:rPr>
        <w:t xml:space="preserve"> The hydrotrope (species 3) interacts favourably with both solvents, yet this favourable interaction does not easily overcome the excluded volume effect to make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31</m:t>
            </m:r>
          </m:sub>
        </m:sSub>
      </m:oMath>
      <w:r w:rsidR="00F410C9" w:rsidRPr="00EC5244">
        <w:rPr>
          <w:lang w:val="en-CA"/>
        </w:rPr>
        <w:t xml:space="preserve"> and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32</m:t>
            </m:r>
          </m:sub>
        </m:sSub>
      </m:oMath>
      <w:r w:rsidR="00F410C9" w:rsidRPr="00EC5244">
        <w:rPr>
          <w:lang w:val="en-CA"/>
        </w:rPr>
        <w:t xml:space="preserve"> positive. </w:t>
      </w:r>
      <w:r w:rsidR="00C82C0C" w:rsidRPr="00EC5244">
        <w:rPr>
          <w:lang w:val="en-CA"/>
        </w:rPr>
        <w:t>Hence</w:t>
      </w:r>
      <w:r w:rsidR="00F410C9" w:rsidRPr="00EC5244">
        <w:rPr>
          <w:lang w:val="en-CA"/>
        </w:rPr>
        <w:t xml:space="preserve"> </w:t>
      </w: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oMath>
      <w:r w:rsidR="00F410C9" w:rsidRPr="00EC5244">
        <w:rPr>
          <w:lang w:val="en-CA"/>
        </w:rPr>
        <w:t xml:space="preserve"> contribution to </w:t>
      </w:r>
      <w:r w:rsidR="00E40C45" w:rsidRPr="00EC5244">
        <w:rPr>
          <w:lang w:val="en-CA"/>
        </w:rPr>
        <w:t xml:space="preserve">the first two terms of </w:t>
      </w:r>
      <w:r w:rsidR="00F410C9" w:rsidRPr="00EC5244">
        <w:rPr>
          <w:lang w:val="en-CA"/>
        </w:rPr>
        <w:t xml:space="preserve">Eq. (18) is written as </w:t>
      </w:r>
    </w:p>
    <w:p w14:paraId="308EA039" w14:textId="0F0F74BE" w:rsidR="00F410C9" w:rsidRPr="00EC5244" w:rsidRDefault="00C82C0C" w:rsidP="000A6D5D">
      <w:pPr>
        <w:pStyle w:val="TAMainText"/>
        <w:ind w:firstLine="0"/>
        <w:rPr>
          <w:lang w:val="en-CA"/>
        </w:rPr>
      </w:pPr>
      <m:oMath>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u1</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23</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u2</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13</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1</m:t>
            </m:r>
          </m:sub>
        </m:sSub>
        <m:d>
          <m:dPr>
            <m:ctrlPr>
              <w:rPr>
                <w:rFonts w:ascii="Cambria Math" w:hAnsi="Cambria Math"/>
                <w:i/>
                <w:lang w:val="en-CA"/>
              </w:rPr>
            </m:ctrlPr>
          </m:dPr>
          <m:e>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e>
        </m:d>
        <m:d>
          <m:dPr>
            <m:ctrlPr>
              <w:rPr>
                <w:rFonts w:ascii="Cambria Math" w:hAnsi="Cambria Math"/>
                <w:i/>
                <w:lang w:val="en-CA"/>
              </w:rPr>
            </m:ctrlPr>
          </m:dPr>
          <m:e>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23</m:t>
                </m:r>
              </m:sub>
            </m:sSub>
          </m:e>
        </m:d>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u</m:t>
            </m:r>
          </m:sub>
        </m:sSub>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d>
          <m:dPr>
            <m:ctrlPr>
              <w:rPr>
                <w:rFonts w:ascii="Cambria Math" w:hAnsi="Cambria Math"/>
                <w:i/>
                <w:lang w:val="en-CA"/>
              </w:rPr>
            </m:ctrlPr>
          </m:dPr>
          <m:e>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e>
        </m:d>
        <m:d>
          <m:dPr>
            <m:ctrlPr>
              <w:rPr>
                <w:rFonts w:ascii="Cambria Math" w:hAnsi="Cambria Math"/>
                <w:i/>
                <w:lang w:val="en-CA"/>
              </w:rPr>
            </m:ctrlPr>
          </m:dPr>
          <m:e>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13</m:t>
                </m:r>
              </m:sub>
            </m:sSub>
          </m:e>
        </m:d>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002D7218" w:rsidRPr="00EC5244">
        <w:rPr>
          <w:lang w:val="en-CA"/>
        </w:rPr>
        <w:tab/>
      </w:r>
      <w:r w:rsidR="002D7218" w:rsidRPr="00EC5244">
        <w:rPr>
          <w:lang w:val="en-CA"/>
        </w:rPr>
        <w:tab/>
        <w:t>(20)</w:t>
      </w:r>
    </w:p>
    <w:p w14:paraId="382E97C0" w14:textId="3A453DAA" w:rsidR="00F410C9" w:rsidRPr="00EC5244" w:rsidRDefault="00C82C0C" w:rsidP="000A6D5D">
      <w:pPr>
        <w:pStyle w:val="TAMainText"/>
        <w:ind w:firstLine="0"/>
        <w:rPr>
          <w:lang w:val="en-CA"/>
        </w:rPr>
      </w:pPr>
      <w:r w:rsidRPr="00EC5244">
        <w:rPr>
          <w:lang w:val="en-CA"/>
        </w:rPr>
        <w:t xml:space="preserve">where the r.h.s. has been rewritten clearly to mark the positive sign within </w:t>
      </w:r>
      <m:oMath>
        <m:d>
          <m:dPr>
            <m:ctrlPr>
              <w:rPr>
                <w:rFonts w:ascii="Cambria Math" w:hAnsi="Cambria Math"/>
                <w:i/>
                <w:lang w:val="en-CA"/>
              </w:rPr>
            </m:ctrlPr>
          </m:dPr>
          <m:e>
            <m:r>
              <w:rPr>
                <w:rFonts w:ascii="Cambria Math" w:hAnsi="Cambria Math"/>
                <w:lang w:val="en-CA"/>
              </w:rPr>
              <m:t xml:space="preserve"> </m:t>
            </m:r>
          </m:e>
        </m:d>
      </m:oMath>
      <w:r w:rsidRPr="00EC5244">
        <w:rPr>
          <w:lang w:val="en-CA"/>
        </w:rPr>
        <w:t>. This shows that favourable solute-solvent</w:t>
      </w:r>
      <w:r w:rsidR="00C03951" w:rsidRPr="00EC5244">
        <w:rPr>
          <w:lang w:val="en-CA"/>
        </w:rPr>
        <w:t xml:space="preserve"> </w:t>
      </w:r>
      <w:r w:rsidRPr="00EC5244">
        <w:rPr>
          <w:lang w:val="en-CA"/>
        </w:rPr>
        <w:t>interactions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oMath>
      <w:r w:rsidRPr="00EC5244">
        <w:rPr>
          <w:lang w:val="en-CA"/>
        </w:rPr>
        <w:t xml:space="preserve"> and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Pr="00EC5244">
        <w:rPr>
          <w:lang w:val="en-CA"/>
        </w:rPr>
        <w:t xml:space="preserve">) contribute towards solubilization (i.e., to make </w:t>
      </w:r>
      <m:oMath>
        <m:f>
          <m:fPr>
            <m:ctrlPr>
              <w:rPr>
                <w:rFonts w:ascii="Cambria Math" w:hAnsi="Cambria Math"/>
                <w:i/>
                <w:lang w:val="en-CA"/>
              </w:rPr>
            </m:ctrlPr>
          </m:fPr>
          <m:num>
            <m:r>
              <w:rPr>
                <w:rFonts w:ascii="Cambria Math" w:hAnsi="Cambria Math"/>
                <w:lang w:val="en-CA"/>
              </w:rPr>
              <m:t>1</m:t>
            </m:r>
          </m:num>
          <m:den>
            <m:r>
              <w:rPr>
                <w:rFonts w:ascii="Cambria Math" w:hAnsi="Cambria Math"/>
                <w:lang w:val="en-CA"/>
              </w:rPr>
              <m:t>RT</m:t>
            </m:r>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3</m:t>
                        </m:r>
                      </m:sub>
                    </m:sSub>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j≠3</m:t>
                </m:r>
              </m:sub>
            </m:sSub>
          </m:sub>
        </m:sSub>
      </m:oMath>
      <w:r w:rsidRPr="00EC5244">
        <w:rPr>
          <w:lang w:val="en-CA"/>
        </w:rPr>
        <w:t xml:space="preserve"> negative) in addition to the contribution from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u3</m:t>
            </m:r>
          </m:sub>
        </m:sSub>
      </m:oMath>
      <w:r w:rsidRPr="00EC5244">
        <w:rPr>
          <w:lang w:val="en-CA"/>
        </w:rPr>
        <w:t xml:space="preserve">. </w:t>
      </w:r>
    </w:p>
    <w:p w14:paraId="03A931D9" w14:textId="6D76FFEC" w:rsidR="006743F8" w:rsidRPr="00EC5244" w:rsidRDefault="006743F8" w:rsidP="006743F8">
      <w:pPr>
        <w:pStyle w:val="TAMainText"/>
        <w:ind w:firstLine="0"/>
        <w:rPr>
          <w:lang w:val="en-CA"/>
        </w:rPr>
      </w:pPr>
    </w:p>
    <w:p w14:paraId="626F656E" w14:textId="3C260C32" w:rsidR="002D7218" w:rsidRPr="00EC5244" w:rsidRDefault="002D7218" w:rsidP="00DE289E">
      <w:pPr>
        <w:pStyle w:val="TAMainText"/>
        <w:rPr>
          <w:lang w:val="en-CA"/>
        </w:rPr>
      </w:pPr>
      <w:r w:rsidRPr="00EC5244">
        <w:rPr>
          <w:b/>
          <w:lang w:val="en-CA"/>
        </w:rPr>
        <w:t>(ii</w:t>
      </w:r>
      <w:r w:rsidR="00BE67E1" w:rsidRPr="00EC5244">
        <w:rPr>
          <w:b/>
          <w:lang w:val="en-CA"/>
        </w:rPr>
        <w:t>i</w:t>
      </w:r>
      <w:r w:rsidRPr="00EC5244">
        <w:rPr>
          <w:b/>
          <w:lang w:val="en-CA"/>
        </w:rPr>
        <w:t>) Hydrotrope self-association</w:t>
      </w:r>
      <w:r w:rsidR="00BE67E1" w:rsidRPr="00EC5244">
        <w:rPr>
          <w:b/>
          <w:lang w:val="en-CA"/>
        </w:rPr>
        <w:t xml:space="preserve"> for solubilization inefficiency.</w:t>
      </w:r>
      <w:r w:rsidRPr="00EC5244">
        <w:rPr>
          <w:lang w:val="en-CA"/>
        </w:rPr>
        <w:t xml:space="preserve"> The contribution of hydrotrope self-association,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33</m:t>
            </m:r>
          </m:sub>
        </m:sSub>
      </m:oMath>
      <w:r w:rsidR="00DE289E" w:rsidRPr="00EC5244">
        <w:rPr>
          <w:lang w:val="en-CA"/>
        </w:rPr>
        <w:t>,</w:t>
      </w:r>
      <w:r w:rsidRPr="00EC5244">
        <w:rPr>
          <w:lang w:val="en-CA"/>
        </w:rPr>
        <w:t xml:space="preserve"> to </w:t>
      </w:r>
      <m:oMath>
        <m:d>
          <m:dPr>
            <m:begChr m:val="|"/>
            <m:endChr m:val="|"/>
            <m:ctrlPr>
              <w:rPr>
                <w:rFonts w:ascii="Cambria Math" w:hAnsi="Cambria Math"/>
                <w:i/>
                <w:lang w:val="en-CA"/>
              </w:rPr>
            </m:ctrlPr>
          </m:dPr>
          <m:e>
            <m:r>
              <w:rPr>
                <w:rFonts w:ascii="Cambria Math" w:hAnsi="Cambria Math"/>
                <w:lang w:val="en-CA"/>
              </w:rPr>
              <m:t>B</m:t>
            </m:r>
          </m:e>
        </m:d>
      </m:oMath>
      <w:r w:rsidRPr="00EC5244">
        <w:rPr>
          <w:lang w:val="en-CA"/>
        </w:rPr>
        <w:t xml:space="preserve"> </w:t>
      </w:r>
      <w:r w:rsidR="00E40C45" w:rsidRPr="00EC5244">
        <w:rPr>
          <w:lang w:val="en-CA"/>
        </w:rPr>
        <w:t>can be seen in its 4-component expression</w:t>
      </w:r>
      <w:r w:rsidR="00EB3D1A" w:rsidRPr="00EC5244">
        <w:rPr>
          <w:lang w:val="en-CA"/>
        </w:rPr>
        <w:t xml:space="preserve"> of the denominator of Eq. (17)</w:t>
      </w:r>
      <w:r w:rsidR="00E40C45" w:rsidRPr="00EC5244">
        <w:rPr>
          <w:lang w:val="en-CA"/>
        </w:rPr>
        <w:t xml:space="preserve"> </w:t>
      </w:r>
    </w:p>
    <w:p w14:paraId="558E2999" w14:textId="5CBEE424" w:rsidR="00E40C45" w:rsidRPr="00EC5244" w:rsidRDefault="000C7FF6" w:rsidP="00E40C45">
      <w:pPr>
        <w:pStyle w:val="TAMainText"/>
        <w:rPr>
          <w:lang w:val="en-CA"/>
        </w:rPr>
      </w:pPr>
      <m:oMath>
        <m:d>
          <m:dPr>
            <m:begChr m:val="|"/>
            <m:endChr m:val="|"/>
            <m:ctrlPr>
              <w:rPr>
                <w:rFonts w:ascii="Cambria Math" w:hAnsi="Cambria Math"/>
                <w:i/>
                <w:lang w:val="en-CA"/>
              </w:rPr>
            </m:ctrlPr>
          </m:dPr>
          <m:e>
            <m:r>
              <w:rPr>
                <w:rFonts w:ascii="Cambria Math" w:hAnsi="Cambria Math"/>
                <w:lang w:val="en-CA"/>
              </w:rPr>
              <m:t>B</m:t>
            </m:r>
          </m:e>
        </m:d>
        <m:r>
          <m:rPr>
            <m:sty m:val="p"/>
          </m:rPr>
          <w:rPr>
            <w:rFonts w:ascii="Cambria Math"/>
            <w:lang w:val="en-CA"/>
          </w:rPr>
          <m:t>=</m:t>
        </m:r>
        <m:sSub>
          <m:sSubPr>
            <m:ctrlPr>
              <w:rPr>
                <w:rFonts w:ascii="Cambria Math" w:hAnsi="Cambria Math"/>
                <w:lang w:val="en-CA"/>
              </w:rPr>
            </m:ctrlPr>
          </m:sSubPr>
          <m:e>
            <m:r>
              <m:rPr>
                <m:sty m:val="p"/>
              </m:rPr>
              <w:rPr>
                <w:rFonts w:ascii="Cambria Math"/>
                <w:lang w:val="en-CA"/>
              </w:rPr>
              <m:t>B</m:t>
            </m:r>
          </m:e>
          <m:sub>
            <m:r>
              <m:rPr>
                <m:sty m:val="p"/>
              </m:rPr>
              <w:rPr>
                <w:rFonts w:ascii="Cambria Math"/>
                <w:lang w:val="en-CA"/>
              </w:rPr>
              <m:t>31</m:t>
            </m:r>
          </m:sub>
        </m:sSub>
        <m:sSup>
          <m:sSupPr>
            <m:ctrlPr>
              <w:rPr>
                <w:rFonts w:ascii="Cambria Math" w:hAnsi="Cambria Math"/>
                <w:i/>
                <w:lang w:val="en-CA"/>
              </w:rPr>
            </m:ctrlPr>
          </m:sSupPr>
          <m:e>
            <m:r>
              <w:rPr>
                <w:rFonts w:ascii="Cambria Math"/>
                <w:lang w:val="en-CA"/>
              </w:rPr>
              <m:t>B</m:t>
            </m:r>
          </m:e>
          <m:sup>
            <m:r>
              <w:rPr>
                <w:rFonts w:ascii="Cambria Math"/>
                <w:lang w:val="en-CA"/>
              </w:rPr>
              <m:t>31</m:t>
            </m:r>
          </m:sup>
        </m:sSup>
        <m:r>
          <w:rPr>
            <w:rFonts w:ascii="Cambria Math"/>
            <w:lang w:val="en-CA"/>
          </w:rPr>
          <m:t>-</m:t>
        </m:r>
        <m:sSub>
          <m:sSubPr>
            <m:ctrlPr>
              <w:rPr>
                <w:rFonts w:ascii="Cambria Math" w:hAnsi="Cambria Math"/>
                <w:i/>
                <w:lang w:val="en-CA"/>
              </w:rPr>
            </m:ctrlPr>
          </m:sSubPr>
          <m:e>
            <m:r>
              <w:rPr>
                <w:rFonts w:ascii="Cambria Math"/>
                <w:lang w:val="en-CA"/>
              </w:rPr>
              <m:t>B</m:t>
            </m:r>
          </m:e>
          <m:sub>
            <m:r>
              <w:rPr>
                <w:rFonts w:ascii="Cambria Math"/>
                <w:lang w:val="en-CA"/>
              </w:rPr>
              <m:t>32</m:t>
            </m:r>
          </m:sub>
        </m:sSub>
        <m:sSup>
          <m:sSupPr>
            <m:ctrlPr>
              <w:rPr>
                <w:rFonts w:ascii="Cambria Math" w:hAnsi="Cambria Math"/>
                <w:i/>
                <w:lang w:val="en-CA"/>
              </w:rPr>
            </m:ctrlPr>
          </m:sSupPr>
          <m:e>
            <m:r>
              <w:rPr>
                <w:rFonts w:ascii="Cambria Math"/>
                <w:lang w:val="en-CA"/>
              </w:rPr>
              <m:t>B</m:t>
            </m:r>
          </m:e>
          <m:sup>
            <m:r>
              <w:rPr>
                <w:rFonts w:ascii="Cambria Math"/>
                <w:lang w:val="en-CA"/>
              </w:rPr>
              <m:t>32</m:t>
            </m:r>
          </m:sup>
        </m:sSup>
        <m:r>
          <w:rPr>
            <w:rFonts w:ascii="Cambria Math"/>
            <w:lang w:val="en-CA"/>
          </w:rPr>
          <m:t>+</m:t>
        </m:r>
        <m:sSub>
          <m:sSubPr>
            <m:ctrlPr>
              <w:rPr>
                <w:rFonts w:ascii="Cambria Math" w:hAnsi="Cambria Math"/>
                <w:i/>
                <w:lang w:val="en-CA"/>
              </w:rPr>
            </m:ctrlPr>
          </m:sSubPr>
          <m:e>
            <m:r>
              <w:rPr>
                <w:rFonts w:ascii="Cambria Math"/>
                <w:lang w:val="en-CA"/>
              </w:rPr>
              <m:t>B</m:t>
            </m:r>
          </m:e>
          <m:sub>
            <m:r>
              <w:rPr>
                <w:rFonts w:ascii="Cambria Math"/>
                <w:lang w:val="en-CA"/>
              </w:rPr>
              <m:t>33</m:t>
            </m:r>
          </m:sub>
        </m:sSub>
        <m:sSup>
          <m:sSupPr>
            <m:ctrlPr>
              <w:rPr>
                <w:rFonts w:ascii="Cambria Math" w:hAnsi="Cambria Math"/>
                <w:i/>
                <w:lang w:val="en-CA"/>
              </w:rPr>
            </m:ctrlPr>
          </m:sSupPr>
          <m:e>
            <m:r>
              <w:rPr>
                <w:rFonts w:ascii="Cambria Math"/>
                <w:lang w:val="en-CA"/>
              </w:rPr>
              <m:t>B</m:t>
            </m:r>
          </m:e>
          <m:sup>
            <m:r>
              <w:rPr>
                <w:rFonts w:ascii="Cambria Math"/>
                <w:lang w:val="en-CA"/>
              </w:rPr>
              <m:t>33</m:t>
            </m:r>
          </m:sup>
        </m:sSup>
        <m:r>
          <w:rPr>
            <w:rFonts w:ascii="Cambria Math"/>
            <w:lang w:val="en-CA"/>
          </w:rPr>
          <m:t>-</m:t>
        </m:r>
        <m:sSub>
          <m:sSubPr>
            <m:ctrlPr>
              <w:rPr>
                <w:rFonts w:ascii="Cambria Math" w:hAnsi="Cambria Math"/>
                <w:i/>
                <w:lang w:val="en-CA"/>
              </w:rPr>
            </m:ctrlPr>
          </m:sSubPr>
          <m:e>
            <m:r>
              <w:rPr>
                <w:rFonts w:ascii="Cambria Math"/>
                <w:lang w:val="en-CA"/>
              </w:rPr>
              <m:t>B</m:t>
            </m:r>
          </m:e>
          <m:sub>
            <m:r>
              <w:rPr>
                <w:rFonts w:ascii="Cambria Math"/>
                <w:lang w:val="en-CA"/>
              </w:rPr>
              <m:t>uu</m:t>
            </m:r>
          </m:sub>
        </m:sSub>
        <m:sSup>
          <m:sSupPr>
            <m:ctrlPr>
              <w:rPr>
                <w:rFonts w:ascii="Cambria Math" w:hAnsi="Cambria Math"/>
                <w:i/>
                <w:lang w:val="en-CA"/>
              </w:rPr>
            </m:ctrlPr>
          </m:sSupPr>
          <m:e>
            <m:r>
              <w:rPr>
                <w:rFonts w:ascii="Cambria Math"/>
                <w:lang w:val="en-CA"/>
              </w:rPr>
              <m:t>B</m:t>
            </m:r>
          </m:e>
          <m:sup>
            <m:r>
              <w:rPr>
                <w:rFonts w:ascii="Cambria Math"/>
                <w:lang w:val="en-CA"/>
              </w:rPr>
              <m:t>uu</m:t>
            </m:r>
          </m:sup>
        </m:sSup>
      </m:oMath>
      <w:r w:rsidR="00551DF0" w:rsidRPr="00EC5244">
        <w:rPr>
          <w:lang w:val="en-CA"/>
        </w:rPr>
        <w:tab/>
      </w:r>
      <w:r w:rsidR="00551DF0" w:rsidRPr="00EC5244">
        <w:rPr>
          <w:lang w:val="en-CA"/>
        </w:rPr>
        <w:tab/>
      </w:r>
      <w:r w:rsidR="00551DF0" w:rsidRPr="00EC5244">
        <w:rPr>
          <w:lang w:val="en-CA"/>
        </w:rPr>
        <w:tab/>
      </w:r>
      <w:r w:rsidR="00551DF0" w:rsidRPr="00EC5244">
        <w:rPr>
          <w:lang w:val="en-CA"/>
        </w:rPr>
        <w:tab/>
      </w:r>
      <w:r w:rsidR="00551DF0" w:rsidRPr="00EC5244">
        <w:rPr>
          <w:lang w:val="en-CA"/>
        </w:rPr>
        <w:tab/>
      </w:r>
      <w:r w:rsidR="00551DF0" w:rsidRPr="00EC5244">
        <w:rPr>
          <w:lang w:val="en-CA"/>
        </w:rPr>
        <w:tab/>
        <w:t>(21</w:t>
      </w:r>
      <w:r w:rsidR="00E40C45" w:rsidRPr="00EC5244">
        <w:rPr>
          <w:lang w:val="en-CA"/>
        </w:rPr>
        <w:t>)</w:t>
      </w:r>
    </w:p>
    <w:p w14:paraId="367AF3C2" w14:textId="1FCF1470" w:rsidR="00DE289E" w:rsidRPr="00EC5244" w:rsidRDefault="00EB3D1A" w:rsidP="00DE289E">
      <w:pPr>
        <w:pStyle w:val="TAMainText"/>
        <w:ind w:firstLine="0"/>
        <w:rPr>
          <w:lang w:val="en-CA"/>
        </w:rPr>
      </w:pPr>
      <w:r w:rsidRPr="00EC5244">
        <w:rPr>
          <w:lang w:val="en-CA"/>
        </w:rPr>
        <w:t>The term</w:t>
      </w:r>
      <w:r w:rsidR="00DE289E" w:rsidRPr="00EC5244">
        <w:rPr>
          <w:lang w:val="en-CA"/>
        </w:rPr>
        <w:t xml:space="preserve"> </w:t>
      </w:r>
      <m:oMath>
        <m:sSub>
          <m:sSubPr>
            <m:ctrlPr>
              <w:rPr>
                <w:rFonts w:ascii="Cambria Math" w:hAnsi="Cambria Math"/>
                <w:i/>
                <w:lang w:val="en-CA"/>
              </w:rPr>
            </m:ctrlPr>
          </m:sSubPr>
          <m:e>
            <m:r>
              <w:rPr>
                <w:rFonts w:ascii="Cambria Math"/>
                <w:lang w:val="en-CA"/>
              </w:rPr>
              <m:t>B</m:t>
            </m:r>
          </m:e>
          <m:sub>
            <m:r>
              <w:rPr>
                <w:rFonts w:ascii="Cambria Math"/>
                <w:lang w:val="en-CA"/>
              </w:rPr>
              <m:t>33</m:t>
            </m:r>
          </m:sub>
        </m:sSub>
        <m:sSup>
          <m:sSupPr>
            <m:ctrlPr>
              <w:rPr>
                <w:rFonts w:ascii="Cambria Math" w:hAnsi="Cambria Math"/>
                <w:i/>
                <w:lang w:val="en-CA"/>
              </w:rPr>
            </m:ctrlPr>
          </m:sSupPr>
          <m:e>
            <m:r>
              <w:rPr>
                <w:rFonts w:ascii="Cambria Math"/>
                <w:lang w:val="en-CA"/>
              </w:rPr>
              <m:t>B</m:t>
            </m:r>
          </m:e>
          <m:sup>
            <m:r>
              <w:rPr>
                <w:rFonts w:ascii="Cambria Math"/>
                <w:lang w:val="en-CA"/>
              </w:rPr>
              <m:t>33</m:t>
            </m:r>
          </m:sup>
        </m:sSup>
      </m:oMath>
      <w:r w:rsidR="00DE289E" w:rsidRPr="00EC5244">
        <w:rPr>
          <w:lang w:val="en-CA"/>
        </w:rPr>
        <w:t xml:space="preserve"> is </w:t>
      </w:r>
      <w:r w:rsidRPr="00EC5244">
        <w:rPr>
          <w:lang w:val="en-CA"/>
        </w:rPr>
        <w:t xml:space="preserve">again </w:t>
      </w:r>
      <w:r w:rsidR="00DE289E" w:rsidRPr="00EC5244">
        <w:rPr>
          <w:lang w:val="en-CA"/>
        </w:rPr>
        <w:t xml:space="preserve">positive, due to stability condition. Hydrotrope self-association thus increases </w:t>
      </w:r>
      <m:oMath>
        <m:d>
          <m:dPr>
            <m:begChr m:val="|"/>
            <m:endChr m:val="|"/>
            <m:ctrlPr>
              <w:rPr>
                <w:rFonts w:ascii="Cambria Math" w:hAnsi="Cambria Math"/>
                <w:i/>
                <w:lang w:val="en-CA"/>
              </w:rPr>
            </m:ctrlPr>
          </m:dPr>
          <m:e>
            <m:r>
              <w:rPr>
                <w:rFonts w:ascii="Cambria Math" w:hAnsi="Cambria Math"/>
                <w:lang w:val="en-CA"/>
              </w:rPr>
              <m:t>B</m:t>
            </m:r>
          </m:e>
        </m:d>
      </m:oMath>
      <w:r w:rsidR="00DE289E" w:rsidRPr="00EC5244">
        <w:rPr>
          <w:lang w:val="en-CA"/>
        </w:rPr>
        <w:t xml:space="preserve">, the denominator of Eq. (17), thereby reducing the solubilization efficiency per hydrotrope. </w:t>
      </w:r>
    </w:p>
    <w:p w14:paraId="0944FE8B" w14:textId="096BE2DE" w:rsidR="002D7218" w:rsidRPr="00EC5244" w:rsidRDefault="002D7218" w:rsidP="006743F8">
      <w:pPr>
        <w:pStyle w:val="TAMainText"/>
        <w:ind w:firstLine="0"/>
        <w:rPr>
          <w:lang w:val="en-CA"/>
        </w:rPr>
      </w:pPr>
    </w:p>
    <w:p w14:paraId="46D15DA6" w14:textId="6D43507D" w:rsidR="002D7218" w:rsidRPr="00EC5244" w:rsidRDefault="00BE67E1" w:rsidP="00EB3D1A">
      <w:pPr>
        <w:pStyle w:val="TAMainText"/>
        <w:rPr>
          <w:lang w:val="en-CA"/>
        </w:rPr>
      </w:pPr>
      <w:r w:rsidRPr="00EC5244">
        <w:rPr>
          <w:b/>
          <w:lang w:val="en-CA"/>
        </w:rPr>
        <w:t>(iv) Immiscibility contribution to solubilization efficiency.</w:t>
      </w:r>
      <w:r w:rsidRPr="00EC5244">
        <w:rPr>
          <w:lang w:val="en-CA"/>
        </w:rPr>
        <w:t xml:space="preserve"> </w:t>
      </w:r>
      <w:r w:rsidR="00EB3D1A" w:rsidRPr="00EC5244">
        <w:rPr>
          <w:lang w:val="en-CA"/>
        </w:rPr>
        <w:t xml:space="preserve">We </w:t>
      </w:r>
      <w:r w:rsidR="00DE289E" w:rsidRPr="00EC5244">
        <w:rPr>
          <w:lang w:val="en-CA"/>
        </w:rPr>
        <w:t xml:space="preserve">need to consider how a large negative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12</m:t>
            </m:r>
          </m:sub>
        </m:sSub>
      </m:oMath>
      <w:r w:rsidR="00DE289E" w:rsidRPr="00EC5244">
        <w:rPr>
          <w:lang w:val="en-CA"/>
        </w:rPr>
        <w:t xml:space="preserve"> contributes to </w:t>
      </w:r>
      <m:oMath>
        <m:d>
          <m:dPr>
            <m:begChr m:val="|"/>
            <m:endChr m:val="|"/>
            <m:ctrlPr>
              <w:rPr>
                <w:rFonts w:ascii="Cambria Math" w:hAnsi="Cambria Math"/>
                <w:i/>
                <w:lang w:val="en-CA"/>
              </w:rPr>
            </m:ctrlPr>
          </m:dPr>
          <m:e>
            <m:r>
              <w:rPr>
                <w:rFonts w:ascii="Cambria Math" w:hAnsi="Cambria Math"/>
                <w:lang w:val="en-CA"/>
              </w:rPr>
              <m:t>B</m:t>
            </m:r>
          </m:e>
        </m:d>
      </m:oMath>
      <w:r w:rsidR="00EB3D1A" w:rsidRPr="00EC5244">
        <w:rPr>
          <w:lang w:val="en-CA"/>
        </w:rPr>
        <w:t xml:space="preserve"> (Eq. (22))</w:t>
      </w:r>
      <w:r w:rsidR="00DE289E" w:rsidRPr="00EC5244">
        <w:rPr>
          <w:lang w:val="en-CA"/>
        </w:rPr>
        <w:t>. To extract the relevant terms</w:t>
      </w:r>
    </w:p>
    <w:p w14:paraId="547D7F2B" w14:textId="322688B9" w:rsidR="00DE289E" w:rsidRPr="00EC5244" w:rsidRDefault="000C7FF6" w:rsidP="006743F8">
      <w:pPr>
        <w:pStyle w:val="TAMainText"/>
        <w:ind w:firstLine="0"/>
        <w:rPr>
          <w:lang w:val="en-CA"/>
        </w:rPr>
      </w:pP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13</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21</m:t>
            </m:r>
          </m:sub>
        </m:sSub>
        <m:d>
          <m:dPr>
            <m:begChr m:val="|"/>
            <m:endChr m:val="|"/>
            <m:ctrlPr>
              <w:rPr>
                <w:rFonts w:ascii="Cambria Math" w:hAnsi="Cambria Math"/>
                <w:i/>
                <w:lang w:val="en-CA"/>
              </w:rPr>
            </m:ctrlPr>
          </m:dPr>
          <m:e>
            <m:m>
              <m:mPr>
                <m:mcs>
                  <m:mc>
                    <m:mcPr>
                      <m:count m:val="2"/>
                      <m:mcJc m:val="center"/>
                    </m:mcPr>
                  </m:mc>
                </m:mcs>
                <m:ctrlPr>
                  <w:rPr>
                    <w:rFonts w:ascii="Cambria Math" w:hAnsi="Cambria Math"/>
                    <w:i/>
                    <w:lang w:val="en-CA"/>
                  </w:rPr>
                </m:ctrlPr>
              </m:mP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32</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3u</m:t>
                      </m:r>
                    </m:sub>
                  </m:sSub>
                </m:e>
              </m:m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u2</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uu</m:t>
                      </m:r>
                    </m:sub>
                  </m:sSub>
                </m:e>
              </m:mr>
            </m:m>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23</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d>
          <m:dPr>
            <m:begChr m:val="|"/>
            <m:endChr m:val="|"/>
            <m:ctrlPr>
              <w:rPr>
                <w:rFonts w:ascii="Cambria Math" w:hAnsi="Cambria Math"/>
                <w:i/>
                <w:lang w:val="en-CA"/>
              </w:rPr>
            </m:ctrlPr>
          </m:dPr>
          <m:e>
            <m:m>
              <m:mPr>
                <m:mcs>
                  <m:mc>
                    <m:mcPr>
                      <m:count m:val="2"/>
                      <m:mcJc m:val="center"/>
                    </m:mcPr>
                  </m:mc>
                </m:mcs>
                <m:ctrlPr>
                  <w:rPr>
                    <w:rFonts w:ascii="Cambria Math" w:hAnsi="Cambria Math"/>
                    <w:i/>
                    <w:lang w:val="en-CA"/>
                  </w:rPr>
                </m:ctrlPr>
              </m:mP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3u</m:t>
                      </m:r>
                    </m:sub>
                  </m:sSub>
                </m:e>
              </m:m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uu</m:t>
                      </m:r>
                    </m:sub>
                  </m:sSub>
                </m:e>
              </m:mr>
            </m:m>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u3</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d>
          <m:dPr>
            <m:begChr m:val="|"/>
            <m:endChr m:val="|"/>
            <m:ctrlPr>
              <w:rPr>
                <w:rFonts w:ascii="Cambria Math" w:hAnsi="Cambria Math"/>
                <w:i/>
                <w:lang w:val="en-CA"/>
              </w:rPr>
            </m:ctrlPr>
          </m:dPr>
          <m:e>
            <m:m>
              <m:mPr>
                <m:mcs>
                  <m:mc>
                    <m:mcPr>
                      <m:count m:val="2"/>
                      <m:mcJc m:val="center"/>
                    </m:mcPr>
                  </m:mc>
                </m:mcs>
                <m:ctrlPr>
                  <w:rPr>
                    <w:rFonts w:ascii="Cambria Math" w:hAnsi="Cambria Math"/>
                    <w:i/>
                    <w:lang w:val="en-CA"/>
                  </w:rPr>
                </m:ctrlPr>
              </m:mP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2u</m:t>
                      </m:r>
                    </m:sub>
                  </m:sSub>
                </m:e>
              </m:mr>
              <m:mr>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31</m:t>
                      </m:r>
                    </m:sub>
                  </m:sSub>
                </m:e>
                <m:e>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3u</m:t>
                      </m:r>
                    </m:sub>
                  </m:sSub>
                </m:e>
              </m:mr>
            </m:m>
          </m:e>
        </m:d>
      </m:oMath>
      <w:r w:rsidR="00462D00" w:rsidRPr="00EC5244">
        <w:rPr>
          <w:lang w:val="en-CA"/>
        </w:rPr>
        <w:tab/>
      </w:r>
      <w:r w:rsidR="00462D00" w:rsidRPr="00EC5244">
        <w:rPr>
          <w:lang w:val="en-CA"/>
        </w:rPr>
        <w:tab/>
      </w:r>
      <w:r w:rsidR="00462D00" w:rsidRPr="00EC5244">
        <w:rPr>
          <w:lang w:val="en-CA"/>
        </w:rPr>
        <w:tab/>
      </w:r>
      <w:r w:rsidR="00462D00" w:rsidRPr="00EC5244">
        <w:rPr>
          <w:lang w:val="en-CA"/>
        </w:rPr>
        <w:tab/>
      </w:r>
      <w:r w:rsidR="00551DF0" w:rsidRPr="00EC5244">
        <w:rPr>
          <w:lang w:val="en-CA"/>
        </w:rPr>
        <w:t>(22</w:t>
      </w:r>
      <w:r w:rsidR="00462D00" w:rsidRPr="00EC5244">
        <w:rPr>
          <w:lang w:val="en-CA"/>
        </w:rPr>
        <w:t>)</w:t>
      </w:r>
    </w:p>
    <w:p w14:paraId="073F2F68" w14:textId="08C39584" w:rsidR="00BE67E1" w:rsidRPr="00EC5244" w:rsidRDefault="001E1AA8" w:rsidP="006743F8">
      <w:pPr>
        <w:pStyle w:val="TAMainText"/>
        <w:ind w:firstLine="0"/>
        <w:rPr>
          <w:lang w:val="en-CA"/>
        </w:rPr>
      </w:pPr>
      <w:r w:rsidRPr="00EC5244">
        <w:rPr>
          <w:lang w:val="en-CA"/>
        </w:rPr>
        <w:t>I</w:t>
      </w:r>
      <w:r w:rsidR="00462D00" w:rsidRPr="00EC5244">
        <w:rPr>
          <w:lang w:val="en-CA"/>
        </w:rPr>
        <w:t xml:space="preserve">t is difficult to draw a definitive conclusion without evaluating each of the KBIs </w:t>
      </w:r>
      <w:r w:rsidR="00551DF0" w:rsidRPr="00EC5244">
        <w:rPr>
          <w:lang w:val="en-CA"/>
        </w:rPr>
        <w:t>in Eq. (22</w:t>
      </w:r>
      <w:r w:rsidR="00462D00" w:rsidRPr="00EC5244">
        <w:rPr>
          <w:lang w:val="en-CA"/>
        </w:rPr>
        <w:t xml:space="preserve">). Yet we can at least say that a strong solute-solvent (species 2) interaction contribute negatively to </w:t>
      </w:r>
      <m:oMath>
        <m:d>
          <m:dPr>
            <m:begChr m:val="|"/>
            <m:endChr m:val="|"/>
            <m:ctrlPr>
              <w:rPr>
                <w:rFonts w:ascii="Cambria Math" w:hAnsi="Cambria Math"/>
                <w:i/>
                <w:lang w:val="en-CA"/>
              </w:rPr>
            </m:ctrlPr>
          </m:dPr>
          <m:e>
            <m:r>
              <w:rPr>
                <w:rFonts w:ascii="Cambria Math" w:hAnsi="Cambria Math"/>
                <w:lang w:val="en-CA"/>
              </w:rPr>
              <m:t>B</m:t>
            </m:r>
          </m:e>
        </m:d>
      </m:oMath>
      <w:r w:rsidR="00462D00" w:rsidRPr="00EC5244">
        <w:rPr>
          <w:lang w:val="en-CA"/>
        </w:rPr>
        <w:t>, thereby increasing the solubilizat</w:t>
      </w:r>
      <w:r w:rsidR="00EB3D1A" w:rsidRPr="00EC5244">
        <w:rPr>
          <w:lang w:val="en-CA"/>
        </w:rPr>
        <w:t xml:space="preserve">ion efficiency. For the sake of </w:t>
      </w:r>
      <w:r w:rsidR="00462D00" w:rsidRPr="00EC5244">
        <w:rPr>
          <w:lang w:val="en-CA"/>
        </w:rPr>
        <w:t xml:space="preserve">argument, we consider the case when hydrotrope makes very strong interaction, sufficient to make KBI positive, only with the solute, </w:t>
      </w: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13</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21</m:t>
            </m:r>
          </m:sub>
        </m:sSub>
        <m:r>
          <w:rPr>
            <w:rFonts w:ascii="Cambria Math" w:hAnsi="Cambria Math"/>
            <w:lang w:val="en-CA"/>
          </w:rPr>
          <m:t>&gt;0</m:t>
        </m:r>
      </m:oMath>
      <w:r w:rsidR="00462D00" w:rsidRPr="00EC5244">
        <w:rPr>
          <w:lang w:val="en-CA"/>
        </w:rPr>
        <w:t xml:space="preserve">, </w:t>
      </w: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23</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21</m:t>
            </m:r>
          </m:sub>
        </m:sSub>
        <m:r>
          <w:rPr>
            <w:rFonts w:ascii="Cambria Math" w:hAnsi="Cambria Math"/>
            <w:lang w:val="en-CA"/>
          </w:rPr>
          <m:t>&gt;0</m:t>
        </m:r>
      </m:oMath>
      <w:r w:rsidR="00462D00" w:rsidRPr="00EC5244">
        <w:rPr>
          <w:lang w:val="en-CA"/>
        </w:rPr>
        <w:t xml:space="preserve"> and </w:t>
      </w: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u3</m:t>
            </m:r>
          </m:sub>
        </m:sSub>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12</m:t>
            </m:r>
          </m:sub>
        </m:sSub>
        <m:r>
          <w:rPr>
            <w:rFonts w:ascii="Cambria Math" w:hAnsi="Cambria Math"/>
            <w:lang w:val="en-CA"/>
          </w:rPr>
          <m:t>&lt;0</m:t>
        </m:r>
      </m:oMath>
      <w:r w:rsidR="00462D00" w:rsidRPr="00EC5244">
        <w:rPr>
          <w:lang w:val="en-CA"/>
        </w:rPr>
        <w:t xml:space="preserve">. In this case, when not only </w:t>
      </w: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u3</m:t>
            </m:r>
          </m:sub>
        </m:sSub>
      </m:oMath>
      <w:r w:rsidR="00462D00" w:rsidRPr="00EC5244">
        <w:rPr>
          <w:lang w:val="en-CA"/>
        </w:rPr>
        <w:t xml:space="preserve"> but also </w:t>
      </w:r>
      <m:oMath>
        <m:sSub>
          <m:sSubPr>
            <m:ctrlPr>
              <w:rPr>
                <w:rFonts w:ascii="Cambria Math" w:hAnsi="Cambria Math"/>
                <w:i/>
                <w:lang w:val="en-CA"/>
              </w:rPr>
            </m:ctrlPr>
          </m:sSubPr>
          <m:e>
            <m:r>
              <w:rPr>
                <w:rFonts w:ascii="Cambria Math" w:hAnsi="Cambria Math"/>
                <w:lang w:val="en-CA"/>
              </w:rPr>
              <m:t>B</m:t>
            </m:r>
          </m:e>
          <m:sub>
            <m:r>
              <w:rPr>
                <w:rFonts w:ascii="Cambria Math" w:hAnsi="Cambria Math"/>
                <w:lang w:val="en-CA"/>
              </w:rPr>
              <m:t>u2</m:t>
            </m:r>
          </m:sub>
        </m:sSub>
      </m:oMath>
      <w:r w:rsidR="00EB3D1A" w:rsidRPr="00EC5244">
        <w:rPr>
          <w:lang w:val="en-CA"/>
        </w:rPr>
        <w:t xml:space="preserve"> is positive</w:t>
      </w:r>
      <w:r w:rsidR="00462D00" w:rsidRPr="00EC5244">
        <w:rPr>
          <w:lang w:val="en-CA"/>
        </w:rPr>
        <w:t xml:space="preserve">, the first two terms can become negative (considering that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oMath>
      <w:r w:rsidR="00462D00" w:rsidRPr="00EC5244">
        <w:rPr>
          <w:lang w:val="en-CA"/>
        </w:rPr>
        <w:t xml:space="preserve"> is negative). The third term can become negative only when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oMath>
      <w:r w:rsidR="00462D00" w:rsidRPr="00EC5244">
        <w:rPr>
          <w:lang w:val="en-CA"/>
        </w:rPr>
        <w:t xml:space="preserve"> is sufficiently stronger than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u3</m:t>
            </m:r>
          </m:sub>
        </m:sSub>
      </m:oMath>
      <w:r w:rsidR="00462D00" w:rsidRPr="00EC5244">
        <w:rPr>
          <w:lang w:val="en-CA"/>
        </w:rPr>
        <w:t xml:space="preserve">. Hence there is possibility that immicibility of two solvents may contribute to increase the solubilization efficiency. </w:t>
      </w:r>
    </w:p>
    <w:p w14:paraId="0D1F8196" w14:textId="77777777" w:rsidR="001E1AA8" w:rsidRPr="00EC5244" w:rsidRDefault="001E1AA8" w:rsidP="006743F8">
      <w:pPr>
        <w:pStyle w:val="TAMainText"/>
        <w:ind w:firstLine="0"/>
        <w:rPr>
          <w:lang w:val="en-CA"/>
        </w:rPr>
      </w:pPr>
    </w:p>
    <w:p w14:paraId="2B877F5C" w14:textId="4EF382C4" w:rsidR="00F8414E" w:rsidRPr="00EC5244" w:rsidRDefault="006743F8" w:rsidP="00374062">
      <w:pPr>
        <w:pStyle w:val="TAMainText"/>
        <w:rPr>
          <w:lang w:val="en-CA"/>
        </w:rPr>
      </w:pPr>
      <w:r w:rsidRPr="00EC5244">
        <w:rPr>
          <w:lang w:val="en-CA"/>
        </w:rPr>
        <w:t xml:space="preserve">The </w:t>
      </w:r>
      <w:r w:rsidR="0088029A" w:rsidRPr="00EC5244">
        <w:rPr>
          <w:lang w:val="en-CA"/>
        </w:rPr>
        <w:t xml:space="preserve">strong solubilization power of surfactant-free micro-emulsions should come from the combination of solute-hydrotrope affinity in addition to solute-solvent, which overrides the </w:t>
      </w:r>
      <w:r w:rsidR="00462D00" w:rsidRPr="00EC5244">
        <w:rPr>
          <w:lang w:val="en-CA"/>
        </w:rPr>
        <w:t xml:space="preserve">solubilization inefficiency. What we have carried out here is merely to identify some possible scenarios. A full analysis requires the determination of all the KBIs. </w:t>
      </w:r>
    </w:p>
    <w:p w14:paraId="3E246D57" w14:textId="1E599833" w:rsidR="00EC21B8" w:rsidRPr="00EC5244" w:rsidRDefault="00EC21B8" w:rsidP="00283FBB">
      <w:pPr>
        <w:pStyle w:val="TAMainText"/>
        <w:ind w:firstLine="0"/>
        <w:rPr>
          <w:b/>
          <w:lang w:val="en-CA"/>
        </w:rPr>
      </w:pPr>
    </w:p>
    <w:p w14:paraId="17159AFE" w14:textId="624882B1" w:rsidR="009E0893" w:rsidRPr="00EC5244" w:rsidRDefault="00A04BE2" w:rsidP="00283FBB">
      <w:pPr>
        <w:pStyle w:val="TAMainText"/>
        <w:ind w:firstLine="0"/>
        <w:rPr>
          <w:b/>
          <w:lang w:val="en-CA"/>
        </w:rPr>
      </w:pPr>
      <w:r w:rsidRPr="00EC5244">
        <w:rPr>
          <w:b/>
          <w:lang w:val="en-CA"/>
        </w:rPr>
        <w:t>7</w:t>
      </w:r>
      <w:r w:rsidR="00EA168C" w:rsidRPr="00EC5244">
        <w:rPr>
          <w:b/>
          <w:lang w:val="en-CA"/>
        </w:rPr>
        <w:t xml:space="preserve">. Conclusion </w:t>
      </w:r>
    </w:p>
    <w:p w14:paraId="3BA0EADA" w14:textId="77777777" w:rsidR="0025761A" w:rsidRPr="00EC5244" w:rsidRDefault="0025761A" w:rsidP="00550394">
      <w:pPr>
        <w:pStyle w:val="TAMainText"/>
        <w:ind w:firstLine="0"/>
        <w:rPr>
          <w:lang w:val="en-CA"/>
        </w:rPr>
      </w:pPr>
    </w:p>
    <w:p w14:paraId="688E3A15" w14:textId="53B876A9" w:rsidR="008D11A8" w:rsidRPr="00EC5244" w:rsidRDefault="00F40C5C" w:rsidP="00550394">
      <w:pPr>
        <w:pStyle w:val="TAMainText"/>
        <w:ind w:firstLine="0"/>
        <w:rPr>
          <w:lang w:val="en-CA"/>
        </w:rPr>
      </w:pPr>
      <w:r w:rsidRPr="00EC5244">
        <w:rPr>
          <w:lang w:val="en-CA"/>
        </w:rPr>
        <w:t>Against the long-standing confusion on the origin of hydrotropy, rigorous statistical thermodynamics</w:t>
      </w:r>
      <w:r w:rsidR="00D80986" w:rsidRPr="00EC5244">
        <w:rPr>
          <w:lang w:val="en-GB"/>
        </w:rPr>
        <w:t>,</w:t>
      </w:r>
      <w:r w:rsidRPr="00EC5244">
        <w:rPr>
          <w:lang w:val="en-CA"/>
        </w:rPr>
        <w:t xml:space="preserve"> based on the KB theory</w:t>
      </w:r>
      <w:r w:rsidR="00F26E46" w:rsidRPr="00EC5244">
        <w:rPr>
          <w:lang w:val="en-CA"/>
        </w:rPr>
        <w:t xml:space="preserve"> of solutions</w:t>
      </w:r>
      <w:r w:rsidRPr="00EC5244">
        <w:rPr>
          <w:lang w:val="en-CA"/>
        </w:rPr>
        <w:t xml:space="preserve">, has brought clarity for the first time in elucidating how hydrotropes increase the solubility of solutes in </w:t>
      </w:r>
      <w:r w:rsidR="00D80986" w:rsidRPr="00EC5244">
        <w:rPr>
          <w:lang w:val="en-CA"/>
        </w:rPr>
        <w:t>aqueous solutions for some classes of hydrotropes.</w:t>
      </w:r>
      <w:r w:rsidR="008F64C5" w:rsidRPr="00EC5244">
        <w:rPr>
          <w:lang w:val="en-CA"/>
        </w:rPr>
        <w:fldChar w:fldCharType="begin" w:fldLock="1"/>
      </w:r>
      <w:r w:rsidR="008F64C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"ITEM-5", "issue" : "36", "issued" : { "date-parts" : [ [ "2016" ] ] }, "page" : "25621-25628", "publisher" : "Royal Society of Chemistry", "title" : "The origin of cooperative solubilisation by hydrotropes", "type" : "article-journal", "volume" : "18" }, "uris" : [ "http://www.mendeley.com/documents/?uuid=dcc5121c-094a-4702-bc34-1086a5612e68" ] }, { "id" : "ITEM-6",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"ITEM-6",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"&lt;sup&gt;8\u201313&lt;/sup&gt;", "plainTextFormattedCitation" : "8\u201313", "previouslyFormattedCitation" : "&lt;sup&gt;8\u201313&lt;/sup&gt;" }, "properties" : { "noteIndex" : 0 }, "schema" : "https://github.com/citation-style-language/schema/raw/master/csl-citation.json" }</w:instrText>
      </w:r>
      <w:r w:rsidR="008F64C5" w:rsidRPr="00EC5244">
        <w:rPr>
          <w:lang w:val="en-CA"/>
        </w:rPr>
        <w:fldChar w:fldCharType="separate"/>
      </w:r>
      <w:r w:rsidR="008F64C5" w:rsidRPr="00EC5244">
        <w:rPr>
          <w:noProof/>
          <w:vertAlign w:val="superscript"/>
          <w:lang w:val="en-CA"/>
        </w:rPr>
        <w:t>8–13</w:t>
      </w:r>
      <w:r w:rsidR="008F64C5" w:rsidRPr="00EC5244">
        <w:rPr>
          <w:lang w:val="en-CA"/>
        </w:rPr>
        <w:fldChar w:fldCharType="end"/>
      </w:r>
      <w:r w:rsidR="00D80986" w:rsidRPr="00EC5244">
        <w:rPr>
          <w:lang w:val="en-CA"/>
        </w:rPr>
        <w:t xml:space="preserve"> </w:t>
      </w:r>
      <w:r w:rsidR="00F26E46" w:rsidRPr="00EC5244">
        <w:rPr>
          <w:lang w:val="en-CA"/>
        </w:rPr>
        <w:t xml:space="preserve">However, a </w:t>
      </w:r>
      <w:r w:rsidR="008D11A8" w:rsidRPr="00EC5244">
        <w:rPr>
          <w:lang w:val="en-CA"/>
        </w:rPr>
        <w:t>great variety in the ty</w:t>
      </w:r>
      <w:r w:rsidR="00F26E46" w:rsidRPr="00EC5244">
        <w:rPr>
          <w:lang w:val="en-CA"/>
        </w:rPr>
        <w:t xml:space="preserve">pes of molecules </w:t>
      </w:r>
      <w:r w:rsidR="008D11A8" w:rsidRPr="00EC5244">
        <w:rPr>
          <w:lang w:val="en-CA"/>
        </w:rPr>
        <w:t>encompassed under the aegis of “hydrotropes” has posed a major hindrance towards the establishment of the general theory.</w:t>
      </w:r>
      <w:r w:rsidR="008F64C5" w:rsidRPr="00EC5244">
        <w:rPr>
          <w:lang w:val="en-CA"/>
        </w:rPr>
        <w:fldChar w:fldCharType="begin" w:fldLock="1"/>
      </w:r>
      <w:r w:rsidR="008F64C5"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"mendeley" : { "formattedCitation" : "&lt;sup&gt;8&lt;/sup&gt;", "plainTextFormattedCitation" : "8", "previouslyFormattedCitation" : "&lt;sup&gt;8&lt;/sup&gt;" }, "properties" : { "noteIndex" : 0 }, "schema" : "https://github.com/citation-style-language/schema/raw/master/csl-citation.json" }</w:instrText>
      </w:r>
      <w:r w:rsidR="008F64C5" w:rsidRPr="00EC5244">
        <w:rPr>
          <w:lang w:val="en-CA"/>
        </w:rPr>
        <w:fldChar w:fldCharType="separate"/>
      </w:r>
      <w:r w:rsidR="008F64C5" w:rsidRPr="00EC5244">
        <w:rPr>
          <w:noProof/>
          <w:vertAlign w:val="superscript"/>
          <w:lang w:val="en-CA"/>
        </w:rPr>
        <w:t>8</w:t>
      </w:r>
      <w:r w:rsidR="008F64C5" w:rsidRPr="00EC5244">
        <w:rPr>
          <w:lang w:val="en-CA"/>
        </w:rPr>
        <w:fldChar w:fldCharType="end"/>
      </w:r>
      <w:r w:rsidR="008D11A8" w:rsidRPr="00EC5244">
        <w:rPr>
          <w:lang w:val="en-CA"/>
        </w:rPr>
        <w:t xml:space="preserve"> </w:t>
      </w:r>
    </w:p>
    <w:p w14:paraId="771191E7" w14:textId="77777777" w:rsidR="008D11A8" w:rsidRPr="00EC5244" w:rsidRDefault="008D11A8" w:rsidP="00550394">
      <w:pPr>
        <w:pStyle w:val="TAMainText"/>
        <w:ind w:firstLine="0"/>
        <w:rPr>
          <w:lang w:val="en-CA"/>
        </w:rPr>
      </w:pPr>
    </w:p>
    <w:p w14:paraId="0062E06B" w14:textId="24A37BBF" w:rsidR="002F7F91" w:rsidRPr="00EC5244" w:rsidRDefault="00F26E46" w:rsidP="00AA1481">
      <w:pPr>
        <w:pStyle w:val="TAMainText"/>
        <w:rPr>
          <w:lang w:val="en-CA"/>
        </w:rPr>
      </w:pPr>
      <w:r w:rsidRPr="00EC5244">
        <w:rPr>
          <w:lang w:val="en-CA"/>
        </w:rPr>
        <w:t>Such a hindrance, however, has</w:t>
      </w:r>
      <w:r w:rsidR="008D11A8" w:rsidRPr="00EC5244">
        <w:rPr>
          <w:lang w:val="en-CA"/>
        </w:rPr>
        <w:t xml:space="preserve"> be</w:t>
      </w:r>
      <w:r w:rsidRPr="00EC5244">
        <w:rPr>
          <w:lang w:val="en-CA"/>
        </w:rPr>
        <w:t xml:space="preserve">en overcome. The aim of this </w:t>
      </w:r>
      <w:r w:rsidRPr="00EC5244">
        <w:rPr>
          <w:i/>
          <w:lang w:val="en-CA"/>
        </w:rPr>
        <w:t>Perspective</w:t>
      </w:r>
      <w:r w:rsidRPr="00EC5244">
        <w:rPr>
          <w:lang w:val="en-CA"/>
        </w:rPr>
        <w:t xml:space="preserve"> article was to show that a truly general theory of hydrotropy requires the Gibbs phase rule as the foundation.</w:t>
      </w:r>
      <w:r w:rsidR="008F64C5" w:rsidRPr="00EC5244">
        <w:rPr>
          <w:lang w:val="en-CA"/>
        </w:rPr>
        <w:fldChar w:fldCharType="begin" w:fldLock="1"/>
      </w:r>
      <w:r w:rsidR="00BB4DD1" w:rsidRPr="00EC5244">
        <w:rPr>
          <w:lang w:val="en-C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"id" : "ITEM-2", "itemData" : { "DOI" : "10.1016/j.bpc.2017.02.003", "ISSN" : "03014622", "author" : [ { "dropping-particle" : "", "family" : "Shimizu", "given" : "Seishi", "non-dropping-particle" : "", "parse-names" : false, "suffix" : "" }, { "dropping-particle" : "", "family" : "Matubayasi", "given" : "Nobuyuki", "non-dropping-particle" : "", "parse-names" : false, "suffix" : "" } ], "container-title" : "Biophysical Chemistry", "id" : "ITEM-2", "issued" : { "date-parts" : [ [ "2017" ] ] }, "page" : "DOI: 10.1016/j.bpc.2017.02.003", "publisher" : "Elsevier B.V.", "title" : "Osmolyte depletion viewed in terms of the dividing membrane and its work of expansion against osmotic pressure", "type" : "article-journal" }, "uris" : [ "http://www.mendeley.com/documents/?uuid=b0be0468-93f2-4f18-8f9a-a660a03d9df3" ] } ], "mendeley" : { "formattedCitation" : "&lt;sup&gt;27,33&lt;/sup&gt;", "plainTextFormattedCitation" : "27,33", "previouslyFormattedCitation" : "&lt;sup&gt;27,33&lt;/sup&gt;" }, "properties" : { "noteIndex" : 0 }, "schema" : "https://github.com/citation-style-language/schema/raw/master/csl-citation.json" }</w:instrText>
      </w:r>
      <w:r w:rsidR="008F64C5" w:rsidRPr="00EC5244">
        <w:rPr>
          <w:lang w:val="en-CA"/>
        </w:rPr>
        <w:fldChar w:fldCharType="separate"/>
      </w:r>
      <w:r w:rsidR="0039109D" w:rsidRPr="00EC5244">
        <w:rPr>
          <w:noProof/>
          <w:vertAlign w:val="superscript"/>
          <w:lang w:val="en-CA"/>
        </w:rPr>
        <w:t>27,33</w:t>
      </w:r>
      <w:r w:rsidR="008F64C5" w:rsidRPr="00EC5244">
        <w:rPr>
          <w:lang w:val="en-CA"/>
        </w:rPr>
        <w:fldChar w:fldCharType="end"/>
      </w:r>
      <w:r w:rsidRPr="00EC5244">
        <w:rPr>
          <w:lang w:val="en-CA"/>
        </w:rPr>
        <w:t xml:space="preserve"> T</w:t>
      </w:r>
      <w:r w:rsidR="008D11A8" w:rsidRPr="00EC5244">
        <w:rPr>
          <w:lang w:val="en-CA"/>
        </w:rPr>
        <w:t xml:space="preserve">he </w:t>
      </w:r>
      <w:r w:rsidR="008D11A8" w:rsidRPr="00EC5244">
        <w:rPr>
          <w:i/>
          <w:lang w:val="en-CA"/>
        </w:rPr>
        <w:t>apparent</w:t>
      </w:r>
      <w:r w:rsidR="008D11A8" w:rsidRPr="00EC5244">
        <w:rPr>
          <w:lang w:val="en-CA"/>
        </w:rPr>
        <w:t xml:space="preserve"> variety of the hydrotropic mechanisms has been shown to arise from the difference in the number of degrees of freedom, classifiable by the Gibbs phase rule. This has clarified the difference between single phase, micellar and biph</w:t>
      </w:r>
      <w:r w:rsidR="002F7F91" w:rsidRPr="00EC5244">
        <w:rPr>
          <w:lang w:val="en-CA"/>
        </w:rPr>
        <w:t>asic solubilization mechanisms, and have paved a way towards rationalizing how hydrotropes and their mixtures with mesoscale structuring work to solubilize solutes.</w:t>
      </w:r>
      <w:r w:rsidR="00AA1481" w:rsidRPr="00EC5244">
        <w:rPr>
          <w:lang w:val="en-CA"/>
        </w:rPr>
        <w:t xml:space="preserve"> The classical notion of the micelle-water partition constant has been generalized to incorporate the variety of locations within and around the micelle that the solute can be found.</w:t>
      </w:r>
      <w:r w:rsidR="00A25E1F" w:rsidRPr="00EC5244">
        <w:rPr>
          <w:lang w:val="en-CA"/>
        </w:rPr>
        <w:fldChar w:fldCharType="begin" w:fldLock="1"/>
      </w:r>
      <w:r w:rsidR="00E37E5E" w:rsidRPr="00EC5244">
        <w:rPr>
          <w:lang w:val="en-CA"/>
        </w:rPr>
        <w:instrText>ADDIN CSL_CITATION { "citationItems" : [ { "id" : "ITEM-1", "itemData" : { "DOI" : "10.1063/1.2186324", "ISSN" : "0021-9606", "author" : [ { "dropping-particle" : "", "family" : "Matubayasi", "given" : "Nobuyuki", "non-dropping-particle" : "", "parse-names" : false, "suffix" : "" }, { "dropping-particle" : "", "family" : "Liang", "given" : "Kuo Kan", "non-dropping-particle" : "", "parse-names" : false, "suffix" : "" }, { "dropping-particle" : "", "family" : "Nakahara", "given" : "Masaru", "non-dropping-particle" : "", "parse-names" : false, "suffix" : "" } ], "container-title" : "The Journal of Chemical Physics", "id" : "ITEM-1", "issue" : "15", "issued" : { "date-parts" : [ [ "2006", "4", "21" ] ] }, "page" : "154908", "title" : "Free-energy analysis of solubilization in micelle", "type" : "article-journal", "volume" : "124" }, "uris" : [ "http://www.mendeley.com/documents/?uuid=d1f0e9c1-c8cc-3891-ab25-bfeb8a83a8f0" ] } ], "mendeley" : { "formattedCitation" : "&lt;sup&gt;30&lt;/sup&gt;", "plainTextFormattedCitation" : "30", "previouslyFormattedCitation" : "&lt;sup&gt;30&lt;/sup&gt;" }, "properties" : { "noteIndex" : 0 }, "schema" : "https://github.com/citation-style-language/schema/raw/master/csl-citation.json" }</w:instrText>
      </w:r>
      <w:r w:rsidR="00A25E1F" w:rsidRPr="00EC5244">
        <w:rPr>
          <w:lang w:val="en-CA"/>
        </w:rPr>
        <w:fldChar w:fldCharType="separate"/>
      </w:r>
      <w:r w:rsidR="00A25E1F" w:rsidRPr="00EC5244">
        <w:rPr>
          <w:noProof/>
          <w:vertAlign w:val="superscript"/>
          <w:lang w:val="en-CA"/>
        </w:rPr>
        <w:t>30</w:t>
      </w:r>
      <w:r w:rsidR="00A25E1F" w:rsidRPr="00EC5244">
        <w:rPr>
          <w:lang w:val="en-CA"/>
        </w:rPr>
        <w:fldChar w:fldCharType="end"/>
      </w:r>
      <w:r w:rsidR="00AA1481" w:rsidRPr="00EC5244">
        <w:rPr>
          <w:lang w:val="en-CA"/>
        </w:rPr>
        <w:t xml:space="preserve"> The difference between the biphasic partition function and the solute-micelle partition function have been clarified from the Gibbs phase rule. </w:t>
      </w:r>
    </w:p>
    <w:p w14:paraId="641DB7C4" w14:textId="77777777" w:rsidR="002F7F91" w:rsidRPr="00EC5244" w:rsidRDefault="002F7F91" w:rsidP="00AA1481">
      <w:pPr>
        <w:pStyle w:val="TAMainText"/>
        <w:rPr>
          <w:lang w:val="en-CA"/>
        </w:rPr>
      </w:pPr>
    </w:p>
    <w:p w14:paraId="3BE5C43A" w14:textId="517D9A7D" w:rsidR="00AA1481" w:rsidRPr="00EC5244" w:rsidRDefault="002F7F91" w:rsidP="00AA1481">
      <w:pPr>
        <w:pStyle w:val="TAMainText"/>
        <w:rPr>
          <w:lang w:val="en-CA"/>
        </w:rPr>
      </w:pPr>
      <w:r w:rsidRPr="00EC5244">
        <w:rPr>
          <w:lang w:val="en-CA"/>
        </w:rPr>
        <w:t>T</w:t>
      </w:r>
      <w:r w:rsidR="00B77F33" w:rsidRPr="00EC5244">
        <w:rPr>
          <w:lang w:val="en-CA"/>
        </w:rPr>
        <w:t>he generalization of our</w:t>
      </w:r>
      <w:r w:rsidR="00814C17" w:rsidRPr="00EC5244">
        <w:rPr>
          <w:lang w:val="en-CA"/>
        </w:rPr>
        <w:t xml:space="preserve"> previous theory</w:t>
      </w:r>
      <w:r w:rsidR="00814C17" w:rsidRPr="00EC5244">
        <w:rPr>
          <w:lang w:val="en-CA"/>
        </w:rPr>
        <w:fldChar w:fldCharType="begin" w:fldLock="1"/>
      </w:r>
      <w:r w:rsidR="00D63CEF" w:rsidRPr="00EC5244">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"ITEM-5", "issue" : "36", "issued" : { "date-parts" : [ [ "2016" ] ] }, "page" : "25621-25628", "publisher" : "Royal Society of Chemistry", "title" : "The origin of cooperative solubilisation by hydrotropes", "type" : "article-journal", "volume" : "18" }, "uris" : [ "http://www.mendeley.com/documents/?uuid=dcc5121c-094a-4702-bc34-1086a5612e68" ] }, { "id" : "ITEM-6",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"ITEM-6",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"&lt;sup&gt;8\u201313&lt;/sup&gt;", "plainTextFormattedCitation" : "8\u201313", "previouslyFormattedCitation" : "&lt;sup&gt;8\u201313&lt;/sup&gt;" }, "properties" : { "noteIndex" : 0 }, "schema" : "https://github.com/citation-style-language/schema/raw/master/csl-citation.json" }</w:instrText>
      </w:r>
      <w:r w:rsidR="00814C17" w:rsidRPr="00EC5244">
        <w:rPr>
          <w:lang w:val="en-CA"/>
        </w:rPr>
        <w:fldChar w:fldCharType="separate"/>
      </w:r>
      <w:r w:rsidR="00814C17" w:rsidRPr="00EC5244">
        <w:rPr>
          <w:noProof/>
          <w:vertAlign w:val="superscript"/>
          <w:lang w:val="en-CA"/>
        </w:rPr>
        <w:t>8–13</w:t>
      </w:r>
      <w:r w:rsidR="00814C17" w:rsidRPr="00EC5244">
        <w:rPr>
          <w:lang w:val="en-CA"/>
        </w:rPr>
        <w:fldChar w:fldCharType="end"/>
      </w:r>
      <w:r w:rsidR="00814C17" w:rsidRPr="00EC5244">
        <w:rPr>
          <w:lang w:val="en-CA"/>
        </w:rPr>
        <w:t xml:space="preserve"> to </w:t>
      </w:r>
      <w:r w:rsidR="00B77F33" w:rsidRPr="00EC5244">
        <w:rPr>
          <w:lang w:val="en-CA"/>
        </w:rPr>
        <w:t>concentrated solut</w:t>
      </w:r>
      <w:r w:rsidRPr="00EC5244">
        <w:rPr>
          <w:lang w:val="en-CA"/>
        </w:rPr>
        <w:t>es in multiple component mixtures has revealed that the universal</w:t>
      </w:r>
      <w:r w:rsidR="00B77F33" w:rsidRPr="00EC5244">
        <w:rPr>
          <w:lang w:val="en-CA"/>
        </w:rPr>
        <w:t xml:space="preserve"> mechan</w:t>
      </w:r>
      <w:r w:rsidRPr="00EC5244">
        <w:rPr>
          <w:lang w:val="en-CA"/>
        </w:rPr>
        <w:t>ism of hydrotropy is at work; solubilization is driven by a strong solute-hydrotrope</w:t>
      </w:r>
      <w:r w:rsidR="00C03951" w:rsidRPr="00EC5244">
        <w:rPr>
          <w:lang w:val="en-CA"/>
        </w:rPr>
        <w:t xml:space="preserve"> </w:t>
      </w:r>
      <w:r w:rsidRPr="00EC5244">
        <w:rPr>
          <w:lang w:val="en-CA"/>
        </w:rPr>
        <w:t>interaction</w:t>
      </w:r>
      <w:r w:rsidR="00102DCF" w:rsidRPr="00EC5244">
        <w:rPr>
          <w:lang w:val="en-CA"/>
        </w:rPr>
        <w:t xml:space="preserve"> with attractive potential of mean force</w:t>
      </w:r>
      <w:r w:rsidRPr="00EC5244">
        <w:rPr>
          <w:lang w:val="en-CA"/>
        </w:rPr>
        <w:t>, which more than overcomes the attenuation by hydrotrope self-aggregation.</w:t>
      </w:r>
      <w:r w:rsidR="00B77F33" w:rsidRPr="00EC5244">
        <w:rPr>
          <w:lang w:val="en-CA"/>
        </w:rPr>
        <w:t xml:space="preserve"> </w:t>
      </w:r>
      <w:r w:rsidRPr="00EC5244">
        <w:rPr>
          <w:lang w:val="en-CA"/>
        </w:rPr>
        <w:t xml:space="preserve">This general theory is applicable even to hydrotropes that exhibit mesoscale pre-structuring.  </w:t>
      </w:r>
    </w:p>
    <w:p w14:paraId="49028B8B" w14:textId="00E27D61" w:rsidR="006743F8" w:rsidRPr="00EC5244" w:rsidRDefault="006743F8" w:rsidP="00AA1481">
      <w:pPr>
        <w:pStyle w:val="TAMainText"/>
        <w:rPr>
          <w:lang w:val="en-CA"/>
        </w:rPr>
      </w:pPr>
    </w:p>
    <w:p w14:paraId="7BC420CD" w14:textId="132DFCA7" w:rsidR="006743F8" w:rsidRPr="00EC5244" w:rsidRDefault="006743F8" w:rsidP="006743F8">
      <w:pPr>
        <w:pStyle w:val="TAMainText"/>
        <w:rPr>
          <w:lang w:val="en-CA"/>
        </w:rPr>
      </w:pPr>
      <w:r w:rsidRPr="00EC5244">
        <w:rPr>
          <w:lang w:val="en-CA"/>
        </w:rPr>
        <w:t xml:space="preserve">To summarise, so far as the structuring within the solution phase does not reach the macroscopic scale, the basic driving forces of hydrotropic solubilization can be quantified via KBIs regardless of solute concentration or number of components. The Gibbs phase rule has always been the foundation which determines the number of independent KBIs determinable in principle. </w:t>
      </w:r>
    </w:p>
    <w:p w14:paraId="0BF09A54" w14:textId="77777777" w:rsidR="006743F8" w:rsidRPr="00EC5244" w:rsidRDefault="006743F8" w:rsidP="00AA1481">
      <w:pPr>
        <w:pStyle w:val="TAMainText"/>
        <w:rPr>
          <w:lang w:val="en-CA"/>
        </w:rPr>
      </w:pPr>
    </w:p>
    <w:p w14:paraId="2852667E" w14:textId="77777777" w:rsidR="00F40C5C" w:rsidRPr="00EC5244" w:rsidRDefault="00F40C5C" w:rsidP="00550394">
      <w:pPr>
        <w:pStyle w:val="TAMainText"/>
        <w:ind w:firstLine="0"/>
        <w:rPr>
          <w:lang w:val="en-CA" w:eastAsia="ja-JP"/>
        </w:rPr>
      </w:pPr>
    </w:p>
    <w:p w14:paraId="0FFF8A84" w14:textId="00B90541" w:rsidR="00FD6CBE" w:rsidRPr="00EC5244" w:rsidRDefault="006441DE" w:rsidP="00865534">
      <w:pPr>
        <w:shd w:val="clear" w:color="auto" w:fill="FFFFFF"/>
        <w:spacing w:after="0" w:line="480" w:lineRule="auto"/>
        <w:rPr>
          <w:rFonts w:ascii="Times New Roman" w:eastAsia="MS Mincho" w:hAnsi="Times New Roman"/>
          <w:b/>
          <w:szCs w:val="24"/>
          <w:lang w:val="en-CA"/>
        </w:rPr>
      </w:pPr>
      <w:r w:rsidRPr="00EC5244">
        <w:rPr>
          <w:rFonts w:ascii="Times New Roman" w:eastAsia="MS Mincho" w:hAnsi="Times New Roman"/>
          <w:b/>
          <w:szCs w:val="24"/>
          <w:lang w:val="en-CA"/>
        </w:rPr>
        <w:t xml:space="preserve">Acknowledgements </w:t>
      </w:r>
    </w:p>
    <w:p w14:paraId="42BD535E" w14:textId="23F74FFB" w:rsidR="00EA168C" w:rsidRPr="00EC5244" w:rsidRDefault="00E75141" w:rsidP="00EA168C">
      <w:pPr>
        <w:spacing w:line="480" w:lineRule="auto"/>
        <w:rPr>
          <w:rFonts w:eastAsia="MS Mincho" w:cs="Times"/>
          <w:lang w:val="en-CA"/>
        </w:rPr>
      </w:pPr>
      <w:r w:rsidRPr="00EC5244">
        <w:rPr>
          <w:rFonts w:eastAsia="MS Mincho" w:cs="Times"/>
          <w:lang w:val="en-CA"/>
        </w:rPr>
        <w:t>We are deeply grateful to</w:t>
      </w:r>
      <w:r w:rsidR="0035121D" w:rsidRPr="00EC5244">
        <w:rPr>
          <w:rFonts w:eastAsia="MS Mincho" w:cs="Times"/>
          <w:lang w:val="en-CA"/>
        </w:rPr>
        <w:t xml:space="preserve"> Steven Abbott for his </w:t>
      </w:r>
      <w:r w:rsidR="00A25E1F" w:rsidRPr="00EC5244">
        <w:rPr>
          <w:rFonts w:eastAsia="MS Mincho" w:cs="Times"/>
          <w:lang w:val="en-CA"/>
        </w:rPr>
        <w:t xml:space="preserve">generous help in </w:t>
      </w:r>
      <w:r w:rsidR="0035121D" w:rsidRPr="00EC5244">
        <w:rPr>
          <w:rFonts w:eastAsia="MS Mincho" w:cs="Times"/>
          <w:lang w:val="en-CA"/>
        </w:rPr>
        <w:t xml:space="preserve">careful and critical reading of the manuscript. </w:t>
      </w:r>
      <w:r w:rsidR="00615B5C" w:rsidRPr="00EC5244">
        <w:rPr>
          <w:rFonts w:eastAsia="MS Mincho" w:cs="Times"/>
          <w:lang w:val="en-CA"/>
        </w:rPr>
        <w:t xml:space="preserve">We also thank Jonny Booth and Josh Reid for useful comments. </w:t>
      </w:r>
      <w:r w:rsidR="005C624F" w:rsidRPr="00EC5244">
        <w:rPr>
          <w:rFonts w:eastAsia="MS Mincho" w:cs="Times"/>
          <w:lang w:val="en-CA"/>
        </w:rPr>
        <w:t>Th</w:t>
      </w:r>
      <w:r w:rsidR="00C322FD" w:rsidRPr="00EC5244">
        <w:rPr>
          <w:rFonts w:eastAsia="MS Mincho" w:cs="Times"/>
          <w:lang w:val="en-CA"/>
        </w:rPr>
        <w:t>is work was</w:t>
      </w:r>
      <w:r w:rsidR="005C624F" w:rsidRPr="00EC5244">
        <w:rPr>
          <w:rFonts w:eastAsia="MS Mincho" w:cs="Times"/>
          <w:lang w:val="en-CA"/>
        </w:rPr>
        <w:t xml:space="preserve"> supported by the </w:t>
      </w:r>
      <w:r w:rsidR="001B4CC2" w:rsidRPr="00EC5244">
        <w:rPr>
          <w:rFonts w:eastAsia="MS Mincho" w:cs="Times"/>
          <w:lang w:val="en-CA"/>
        </w:rPr>
        <w:t xml:space="preserve">Gen Foundation, by the </w:t>
      </w:r>
      <w:r w:rsidR="005C624F" w:rsidRPr="00EC5244">
        <w:rPr>
          <w:rFonts w:eastAsia="MS Mincho" w:cs="Times"/>
          <w:lang w:val="en-CA"/>
        </w:rPr>
        <w:t xml:space="preserve">Grants-in-Aid for Scientific Research (Nos. 15K13550 and </w:t>
      </w:r>
      <w:r w:rsidR="00682090" w:rsidRPr="00EC5244">
        <w:rPr>
          <w:rFonts w:eastAsia="MS Mincho" w:cs="Times"/>
          <w:lang w:val="en-CA"/>
        </w:rPr>
        <w:t>JP</w:t>
      </w:r>
      <w:r w:rsidR="005C624F" w:rsidRPr="00EC5244">
        <w:rPr>
          <w:rFonts w:eastAsia="MS Mincho" w:cs="Times"/>
          <w:lang w:val="en-CA"/>
        </w:rPr>
        <w:t>26240045) from the Japan Society for the Promotion of Science, by the Elements Strategy Initiative for Catalysts and Batteries and the Post-K Supercomputing Project from the Ministry of Education, Culture, Sports, Science, and Technology, and by the HPCI System Research Project (Project IDs:</w:t>
      </w:r>
      <w:r w:rsidR="00BB2140" w:rsidRPr="00EC5244">
        <w:t xml:space="preserve"> </w:t>
      </w:r>
      <w:r w:rsidR="00BB2140" w:rsidRPr="00EC5244">
        <w:rPr>
          <w:rFonts w:eastAsia="MS Mincho" w:cs="Times"/>
          <w:lang w:val="en-CA"/>
        </w:rPr>
        <w:t>hp170097 and hp170221</w:t>
      </w:r>
      <w:r w:rsidR="005C624F" w:rsidRPr="00EC5244">
        <w:rPr>
          <w:rFonts w:eastAsia="MS Mincho" w:cs="Times"/>
          <w:lang w:val="en-CA"/>
        </w:rPr>
        <w:t>)</w:t>
      </w:r>
      <w:r w:rsidR="00EA168C" w:rsidRPr="00EC5244">
        <w:rPr>
          <w:rFonts w:eastAsia="MS Mincho" w:cs="Times"/>
          <w:lang w:val="en-CA"/>
        </w:rPr>
        <w:t xml:space="preserve">. </w:t>
      </w:r>
    </w:p>
    <w:p w14:paraId="6CA81955" w14:textId="77777777" w:rsidR="00B52DB8" w:rsidRPr="00EC5244" w:rsidRDefault="00B52DB8" w:rsidP="00B52DB8">
      <w:pPr>
        <w:pStyle w:val="TAMainText"/>
        <w:ind w:firstLine="0"/>
        <w:rPr>
          <w:rFonts w:cs="Times"/>
          <w:szCs w:val="24"/>
          <w:lang w:val="en-CA" w:eastAsia="ja-JP"/>
        </w:rPr>
      </w:pPr>
    </w:p>
    <w:p w14:paraId="5621044B" w14:textId="767E76FF" w:rsidR="00B52DB8" w:rsidRPr="00EC5244" w:rsidRDefault="00B52DB8" w:rsidP="00B52DB8">
      <w:pPr>
        <w:pStyle w:val="TAMainText"/>
        <w:ind w:firstLine="0"/>
        <w:rPr>
          <w:rFonts w:cs="Times"/>
          <w:b/>
          <w:szCs w:val="24"/>
          <w:lang w:val="en-CA" w:eastAsia="ja-JP"/>
        </w:rPr>
      </w:pPr>
      <w:r w:rsidRPr="00EC5244">
        <w:rPr>
          <w:rFonts w:cs="Times"/>
          <w:b/>
          <w:szCs w:val="24"/>
          <w:lang w:val="en-CA" w:eastAsia="ja-JP"/>
        </w:rPr>
        <w:t>References</w:t>
      </w:r>
    </w:p>
    <w:p w14:paraId="731DC975" w14:textId="7F796393" w:rsidR="00BB4DD1" w:rsidRPr="00EC5244" w:rsidRDefault="004722FE" w:rsidP="00BB4DD1">
      <w:pPr>
        <w:widowControl w:val="0"/>
        <w:autoSpaceDE w:val="0"/>
        <w:autoSpaceDN w:val="0"/>
        <w:adjustRightInd w:val="0"/>
        <w:spacing w:after="0" w:line="480" w:lineRule="auto"/>
        <w:ind w:left="640" w:hanging="640"/>
        <w:rPr>
          <w:rFonts w:cs="Times"/>
          <w:noProof/>
          <w:szCs w:val="24"/>
        </w:rPr>
      </w:pPr>
      <w:r w:rsidRPr="00EC5244">
        <w:rPr>
          <w:rFonts w:eastAsia="Yu Mincho"/>
          <w:lang w:val="en-CA"/>
        </w:rPr>
        <w:fldChar w:fldCharType="begin" w:fldLock="1"/>
      </w:r>
      <w:r w:rsidRPr="00EC5244">
        <w:rPr>
          <w:rFonts w:eastAsia="Yu Mincho"/>
          <w:lang w:val="en-CA"/>
        </w:rPr>
        <w:instrText xml:space="preserve">ADDIN Mendeley Bibliography CSL_BIBLIOGRAPHY </w:instrText>
      </w:r>
      <w:r w:rsidRPr="00EC5244">
        <w:rPr>
          <w:rFonts w:eastAsia="Yu Mincho"/>
          <w:lang w:val="en-CA"/>
        </w:rPr>
        <w:fldChar w:fldCharType="separate"/>
      </w:r>
      <w:r w:rsidR="00BB4DD1" w:rsidRPr="00EC5244">
        <w:rPr>
          <w:rFonts w:cs="Times"/>
          <w:noProof/>
          <w:szCs w:val="24"/>
        </w:rPr>
        <w:t>1</w:t>
      </w:r>
      <w:r w:rsidR="00BB4DD1" w:rsidRPr="00EC5244">
        <w:rPr>
          <w:rFonts w:cs="Times"/>
          <w:noProof/>
          <w:szCs w:val="24"/>
        </w:rPr>
        <w:tab/>
        <w:t xml:space="preserve">C. Neuberg, </w:t>
      </w:r>
      <w:r w:rsidR="00BB4DD1" w:rsidRPr="00EC5244">
        <w:rPr>
          <w:rFonts w:cs="Times"/>
          <w:i/>
          <w:iCs/>
          <w:noProof/>
          <w:szCs w:val="24"/>
        </w:rPr>
        <w:t>Biochem. Z.</w:t>
      </w:r>
      <w:r w:rsidR="00BB4DD1" w:rsidRPr="00EC5244">
        <w:rPr>
          <w:rFonts w:cs="Times"/>
          <w:noProof/>
          <w:szCs w:val="24"/>
        </w:rPr>
        <w:t xml:space="preserve">, 1912, </w:t>
      </w:r>
      <w:r w:rsidR="00BB4DD1" w:rsidRPr="00EC5244">
        <w:rPr>
          <w:rFonts w:cs="Times"/>
          <w:b/>
          <w:bCs/>
          <w:noProof/>
          <w:szCs w:val="24"/>
        </w:rPr>
        <w:t>76</w:t>
      </w:r>
      <w:r w:rsidR="00BB4DD1" w:rsidRPr="00EC5244">
        <w:rPr>
          <w:rFonts w:cs="Times"/>
          <w:noProof/>
          <w:szCs w:val="24"/>
        </w:rPr>
        <w:t>, 107–176.</w:t>
      </w:r>
    </w:p>
    <w:p w14:paraId="58C67774"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w:t>
      </w:r>
      <w:r w:rsidRPr="00EC5244">
        <w:rPr>
          <w:rFonts w:cs="Times"/>
          <w:noProof/>
          <w:szCs w:val="24"/>
        </w:rPr>
        <w:tab/>
        <w:t xml:space="preserve">D. Balasubramanian, V. Srinivas, V. G. Gaikar and M. M. Sharma, </w:t>
      </w:r>
      <w:r w:rsidRPr="00EC5244">
        <w:rPr>
          <w:rFonts w:cs="Times"/>
          <w:i/>
          <w:iCs/>
          <w:noProof/>
          <w:szCs w:val="24"/>
        </w:rPr>
        <w:t>J. Phys. Chem.</w:t>
      </w:r>
      <w:r w:rsidRPr="00EC5244">
        <w:rPr>
          <w:rFonts w:cs="Times"/>
          <w:noProof/>
          <w:szCs w:val="24"/>
        </w:rPr>
        <w:t xml:space="preserve">, 1989, </w:t>
      </w:r>
      <w:r w:rsidRPr="00EC5244">
        <w:rPr>
          <w:rFonts w:cs="Times"/>
          <w:b/>
          <w:bCs/>
          <w:noProof/>
          <w:szCs w:val="24"/>
        </w:rPr>
        <w:t>93</w:t>
      </w:r>
      <w:r w:rsidRPr="00EC5244">
        <w:rPr>
          <w:rFonts w:cs="Times"/>
          <w:noProof/>
          <w:szCs w:val="24"/>
        </w:rPr>
        <w:t>, 3865–3870.</w:t>
      </w:r>
    </w:p>
    <w:p w14:paraId="50E170FC"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w:t>
      </w:r>
      <w:r w:rsidRPr="00EC5244">
        <w:rPr>
          <w:rFonts w:cs="Times"/>
          <w:noProof/>
          <w:szCs w:val="24"/>
        </w:rPr>
        <w:tab/>
        <w:t xml:space="preserve">S. E. Friberg, </w:t>
      </w:r>
      <w:r w:rsidRPr="00EC5244">
        <w:rPr>
          <w:rFonts w:cs="Times"/>
          <w:i/>
          <w:iCs/>
          <w:noProof/>
          <w:szCs w:val="24"/>
        </w:rPr>
        <w:t>Curr. Opin. Colloid Interface Sci.</w:t>
      </w:r>
      <w:r w:rsidRPr="00EC5244">
        <w:rPr>
          <w:rFonts w:cs="Times"/>
          <w:noProof/>
          <w:szCs w:val="24"/>
        </w:rPr>
        <w:t xml:space="preserve">, 1997, </w:t>
      </w:r>
      <w:r w:rsidRPr="00EC5244">
        <w:rPr>
          <w:rFonts w:cs="Times"/>
          <w:b/>
          <w:bCs/>
          <w:noProof/>
          <w:szCs w:val="24"/>
        </w:rPr>
        <w:t>2</w:t>
      </w:r>
      <w:r w:rsidRPr="00EC5244">
        <w:rPr>
          <w:rFonts w:cs="Times"/>
          <w:noProof/>
          <w:szCs w:val="24"/>
        </w:rPr>
        <w:t>, 490–494.</w:t>
      </w:r>
    </w:p>
    <w:p w14:paraId="73B85733"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w:t>
      </w:r>
      <w:r w:rsidRPr="00EC5244">
        <w:rPr>
          <w:rFonts w:cs="Times"/>
          <w:noProof/>
          <w:szCs w:val="24"/>
        </w:rPr>
        <w:tab/>
        <w:t xml:space="preserve">P. Bauduin, A. Renoncourt, A. Kopf, D. Touraud and W. Kunz, </w:t>
      </w:r>
      <w:r w:rsidRPr="00EC5244">
        <w:rPr>
          <w:rFonts w:cs="Times"/>
          <w:i/>
          <w:iCs/>
          <w:noProof/>
          <w:szCs w:val="24"/>
        </w:rPr>
        <w:t>Langmuir</w:t>
      </w:r>
      <w:r w:rsidRPr="00EC5244">
        <w:rPr>
          <w:rFonts w:cs="Times"/>
          <w:noProof/>
          <w:szCs w:val="24"/>
        </w:rPr>
        <w:t xml:space="preserve">, 2005, </w:t>
      </w:r>
      <w:r w:rsidRPr="00EC5244">
        <w:rPr>
          <w:rFonts w:cs="Times"/>
          <w:b/>
          <w:bCs/>
          <w:noProof/>
          <w:szCs w:val="24"/>
        </w:rPr>
        <w:t>21</w:t>
      </w:r>
      <w:r w:rsidRPr="00EC5244">
        <w:rPr>
          <w:rFonts w:cs="Times"/>
          <w:noProof/>
          <w:szCs w:val="24"/>
        </w:rPr>
        <w:t>, 6769–6775.</w:t>
      </w:r>
    </w:p>
    <w:p w14:paraId="01F62FB3"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w:t>
      </w:r>
      <w:r w:rsidRPr="00EC5244">
        <w:rPr>
          <w:rFonts w:cs="Times"/>
          <w:noProof/>
          <w:szCs w:val="24"/>
        </w:rPr>
        <w:tab/>
        <w:t xml:space="preserve">T. K. Hodgdon and E. W. Kaler, </w:t>
      </w:r>
      <w:r w:rsidRPr="00EC5244">
        <w:rPr>
          <w:rFonts w:cs="Times"/>
          <w:i/>
          <w:iCs/>
          <w:noProof/>
          <w:szCs w:val="24"/>
        </w:rPr>
        <w:t>Curr. Opin. Colloid Interface Sci.</w:t>
      </w:r>
      <w:r w:rsidRPr="00EC5244">
        <w:rPr>
          <w:rFonts w:cs="Times"/>
          <w:noProof/>
          <w:szCs w:val="24"/>
        </w:rPr>
        <w:t xml:space="preserve">, 2007, </w:t>
      </w:r>
      <w:r w:rsidRPr="00EC5244">
        <w:rPr>
          <w:rFonts w:cs="Times"/>
          <w:b/>
          <w:bCs/>
          <w:noProof/>
          <w:szCs w:val="24"/>
        </w:rPr>
        <w:t>12</w:t>
      </w:r>
      <w:r w:rsidRPr="00EC5244">
        <w:rPr>
          <w:rFonts w:cs="Times"/>
          <w:noProof/>
          <w:szCs w:val="24"/>
        </w:rPr>
        <w:t>, 121–128.</w:t>
      </w:r>
    </w:p>
    <w:p w14:paraId="5C90965B"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6</w:t>
      </w:r>
      <w:r w:rsidRPr="00EC5244">
        <w:rPr>
          <w:rFonts w:cs="Times"/>
          <w:noProof/>
          <w:szCs w:val="24"/>
        </w:rPr>
        <w:tab/>
        <w:t xml:space="preserve">C. V. Subbarao, I. P. K. Chakravarthy, A. V. S. L. Sai Bharadwaj and K. M. M. Prasad, </w:t>
      </w:r>
      <w:r w:rsidRPr="00EC5244">
        <w:rPr>
          <w:rFonts w:cs="Times"/>
          <w:i/>
          <w:iCs/>
          <w:noProof/>
          <w:szCs w:val="24"/>
        </w:rPr>
        <w:t>Chem. Eng. Technol.</w:t>
      </w:r>
      <w:r w:rsidRPr="00EC5244">
        <w:rPr>
          <w:rFonts w:cs="Times"/>
          <w:noProof/>
          <w:szCs w:val="24"/>
        </w:rPr>
        <w:t xml:space="preserve">, 2012, </w:t>
      </w:r>
      <w:r w:rsidRPr="00EC5244">
        <w:rPr>
          <w:rFonts w:cs="Times"/>
          <w:b/>
          <w:bCs/>
          <w:noProof/>
          <w:szCs w:val="24"/>
        </w:rPr>
        <w:t>35</w:t>
      </w:r>
      <w:r w:rsidRPr="00EC5244">
        <w:rPr>
          <w:rFonts w:cs="Times"/>
          <w:noProof/>
          <w:szCs w:val="24"/>
        </w:rPr>
        <w:t>, 225–237.</w:t>
      </w:r>
    </w:p>
    <w:p w14:paraId="31E500F8"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7</w:t>
      </w:r>
      <w:r w:rsidRPr="00EC5244">
        <w:rPr>
          <w:rFonts w:cs="Times"/>
          <w:noProof/>
          <w:szCs w:val="24"/>
        </w:rPr>
        <w:tab/>
        <w:t xml:space="preserve">W. Kunz, K. Holmberg and T. Zemb, </w:t>
      </w:r>
      <w:r w:rsidRPr="00EC5244">
        <w:rPr>
          <w:rFonts w:cs="Times"/>
          <w:i/>
          <w:iCs/>
          <w:noProof/>
          <w:szCs w:val="24"/>
        </w:rPr>
        <w:t>Curr. Opin. Colloid Interface Sci.</w:t>
      </w:r>
      <w:r w:rsidRPr="00EC5244">
        <w:rPr>
          <w:rFonts w:cs="Times"/>
          <w:noProof/>
          <w:szCs w:val="24"/>
        </w:rPr>
        <w:t xml:space="preserve">, 2016, </w:t>
      </w:r>
      <w:r w:rsidRPr="00EC5244">
        <w:rPr>
          <w:rFonts w:cs="Times"/>
          <w:b/>
          <w:bCs/>
          <w:noProof/>
          <w:szCs w:val="24"/>
        </w:rPr>
        <w:t>22</w:t>
      </w:r>
      <w:r w:rsidRPr="00EC5244">
        <w:rPr>
          <w:rFonts w:cs="Times"/>
          <w:noProof/>
          <w:szCs w:val="24"/>
        </w:rPr>
        <w:t>, 99–107.</w:t>
      </w:r>
    </w:p>
    <w:p w14:paraId="396307C1"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8</w:t>
      </w:r>
      <w:r w:rsidRPr="00EC5244">
        <w:rPr>
          <w:rFonts w:cs="Times"/>
          <w:noProof/>
          <w:szCs w:val="24"/>
        </w:rPr>
        <w:tab/>
        <w:t xml:space="preserve">J. J. Booth, S. Abbott and S. Shimizu, </w:t>
      </w:r>
      <w:r w:rsidRPr="00EC5244">
        <w:rPr>
          <w:rFonts w:cs="Times"/>
          <w:i/>
          <w:iCs/>
          <w:noProof/>
          <w:szCs w:val="24"/>
        </w:rPr>
        <w:t>J. Phys. Chem. B</w:t>
      </w:r>
      <w:r w:rsidRPr="00EC5244">
        <w:rPr>
          <w:rFonts w:cs="Times"/>
          <w:noProof/>
          <w:szCs w:val="24"/>
        </w:rPr>
        <w:t xml:space="preserve">, 2012, </w:t>
      </w:r>
      <w:r w:rsidRPr="00EC5244">
        <w:rPr>
          <w:rFonts w:cs="Times"/>
          <w:b/>
          <w:bCs/>
          <w:noProof/>
          <w:szCs w:val="24"/>
        </w:rPr>
        <w:t>116</w:t>
      </w:r>
      <w:r w:rsidRPr="00EC5244">
        <w:rPr>
          <w:rFonts w:cs="Times"/>
          <w:noProof/>
          <w:szCs w:val="24"/>
        </w:rPr>
        <w:t>, 14915–14921.</w:t>
      </w:r>
    </w:p>
    <w:p w14:paraId="272D52E7"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9</w:t>
      </w:r>
      <w:r w:rsidRPr="00EC5244">
        <w:rPr>
          <w:rFonts w:cs="Times"/>
          <w:noProof/>
          <w:szCs w:val="24"/>
        </w:rPr>
        <w:tab/>
        <w:t xml:space="preserve">S. Shimizu, J. J. Booth and S. Abbott, </w:t>
      </w:r>
      <w:r w:rsidRPr="00EC5244">
        <w:rPr>
          <w:rFonts w:cs="Times"/>
          <w:i/>
          <w:iCs/>
          <w:noProof/>
          <w:szCs w:val="24"/>
        </w:rPr>
        <w:t>Phys. Chem. Chem. Phys.</w:t>
      </w:r>
      <w:r w:rsidRPr="00EC5244">
        <w:rPr>
          <w:rFonts w:cs="Times"/>
          <w:noProof/>
          <w:szCs w:val="24"/>
        </w:rPr>
        <w:t xml:space="preserve">, 2013, </w:t>
      </w:r>
      <w:r w:rsidRPr="00EC5244">
        <w:rPr>
          <w:rFonts w:cs="Times"/>
          <w:b/>
          <w:bCs/>
          <w:noProof/>
          <w:szCs w:val="24"/>
        </w:rPr>
        <w:t>15</w:t>
      </w:r>
      <w:r w:rsidRPr="00EC5244">
        <w:rPr>
          <w:rFonts w:cs="Times"/>
          <w:noProof/>
          <w:szCs w:val="24"/>
        </w:rPr>
        <w:t>, 20625–20632.</w:t>
      </w:r>
    </w:p>
    <w:p w14:paraId="10D22EF4"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10</w:t>
      </w:r>
      <w:r w:rsidRPr="00EC5244">
        <w:rPr>
          <w:rFonts w:cs="Times"/>
          <w:noProof/>
          <w:szCs w:val="24"/>
        </w:rPr>
        <w:tab/>
        <w:t xml:space="preserve">S. Shimizu and N. Matubayasi, </w:t>
      </w:r>
      <w:r w:rsidRPr="00EC5244">
        <w:rPr>
          <w:rFonts w:cs="Times"/>
          <w:i/>
          <w:iCs/>
          <w:noProof/>
          <w:szCs w:val="24"/>
        </w:rPr>
        <w:t>J. Phys. Chem. B</w:t>
      </w:r>
      <w:r w:rsidRPr="00EC5244">
        <w:rPr>
          <w:rFonts w:cs="Times"/>
          <w:noProof/>
          <w:szCs w:val="24"/>
        </w:rPr>
        <w:t xml:space="preserve">, 2014, </w:t>
      </w:r>
      <w:r w:rsidRPr="00EC5244">
        <w:rPr>
          <w:rFonts w:cs="Times"/>
          <w:b/>
          <w:bCs/>
          <w:noProof/>
          <w:szCs w:val="24"/>
        </w:rPr>
        <w:t>118</w:t>
      </w:r>
      <w:r w:rsidRPr="00EC5244">
        <w:rPr>
          <w:rFonts w:cs="Times"/>
          <w:noProof/>
          <w:szCs w:val="24"/>
        </w:rPr>
        <w:t>, 10515–10524.</w:t>
      </w:r>
    </w:p>
    <w:p w14:paraId="6A60019B"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11</w:t>
      </w:r>
      <w:r w:rsidRPr="00EC5244">
        <w:rPr>
          <w:rFonts w:cs="Times"/>
          <w:noProof/>
          <w:szCs w:val="24"/>
        </w:rPr>
        <w:tab/>
        <w:t xml:space="preserve">J. J. Booth, M. Omar, S. Abbott and S. Shimizu, </w:t>
      </w:r>
      <w:r w:rsidRPr="00EC5244">
        <w:rPr>
          <w:rFonts w:cs="Times"/>
          <w:i/>
          <w:iCs/>
          <w:noProof/>
          <w:szCs w:val="24"/>
        </w:rPr>
        <w:t>Phys Chem Chem Phys</w:t>
      </w:r>
      <w:r w:rsidRPr="00EC5244">
        <w:rPr>
          <w:rFonts w:cs="Times"/>
          <w:noProof/>
          <w:szCs w:val="24"/>
        </w:rPr>
        <w:t xml:space="preserve">, 2015, </w:t>
      </w:r>
      <w:r w:rsidRPr="00EC5244">
        <w:rPr>
          <w:rFonts w:cs="Times"/>
          <w:b/>
          <w:bCs/>
          <w:noProof/>
          <w:szCs w:val="24"/>
        </w:rPr>
        <w:t>17</w:t>
      </w:r>
      <w:r w:rsidRPr="00EC5244">
        <w:rPr>
          <w:rFonts w:cs="Times"/>
          <w:noProof/>
          <w:szCs w:val="24"/>
        </w:rPr>
        <w:t>, 8028–8037.</w:t>
      </w:r>
    </w:p>
    <w:p w14:paraId="002A95A4"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12</w:t>
      </w:r>
      <w:r w:rsidRPr="00EC5244">
        <w:rPr>
          <w:rFonts w:cs="Times"/>
          <w:noProof/>
          <w:szCs w:val="24"/>
        </w:rPr>
        <w:tab/>
        <w:t xml:space="preserve">S. Shimizu and N. Matubayasi, </w:t>
      </w:r>
      <w:r w:rsidRPr="00EC5244">
        <w:rPr>
          <w:rFonts w:cs="Times"/>
          <w:i/>
          <w:iCs/>
          <w:noProof/>
          <w:szCs w:val="24"/>
        </w:rPr>
        <w:t>Phys. Chem. Chem. Phys.</w:t>
      </w:r>
      <w:r w:rsidRPr="00EC5244">
        <w:rPr>
          <w:rFonts w:cs="Times"/>
          <w:noProof/>
          <w:szCs w:val="24"/>
        </w:rPr>
        <w:t xml:space="preserve">, 2016, </w:t>
      </w:r>
      <w:r w:rsidRPr="00EC5244">
        <w:rPr>
          <w:rFonts w:cs="Times"/>
          <w:b/>
          <w:bCs/>
          <w:noProof/>
          <w:szCs w:val="24"/>
        </w:rPr>
        <w:t>18</w:t>
      </w:r>
      <w:r w:rsidRPr="00EC5244">
        <w:rPr>
          <w:rFonts w:cs="Times"/>
          <w:noProof/>
          <w:szCs w:val="24"/>
        </w:rPr>
        <w:t>, 25621–25628.</w:t>
      </w:r>
    </w:p>
    <w:p w14:paraId="7CBB717E"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13</w:t>
      </w:r>
      <w:r w:rsidRPr="00EC5244">
        <w:rPr>
          <w:rFonts w:cs="Times"/>
          <w:noProof/>
          <w:szCs w:val="24"/>
        </w:rPr>
        <w:tab/>
        <w:t xml:space="preserve">S. Abbott, J. J. Booth and S. Shimizu, </w:t>
      </w:r>
      <w:r w:rsidRPr="00EC5244">
        <w:rPr>
          <w:rFonts w:cs="Times"/>
          <w:i/>
          <w:iCs/>
          <w:noProof/>
          <w:szCs w:val="24"/>
        </w:rPr>
        <w:t>Green Chem.</w:t>
      </w:r>
      <w:r w:rsidRPr="00EC5244">
        <w:rPr>
          <w:rFonts w:cs="Times"/>
          <w:noProof/>
          <w:szCs w:val="24"/>
        </w:rPr>
        <w:t xml:space="preserve">, 2017, </w:t>
      </w:r>
      <w:r w:rsidRPr="00EC5244">
        <w:rPr>
          <w:rFonts w:cs="Times"/>
          <w:b/>
          <w:bCs/>
          <w:noProof/>
          <w:szCs w:val="24"/>
        </w:rPr>
        <w:t>19</w:t>
      </w:r>
      <w:r w:rsidRPr="00EC5244">
        <w:rPr>
          <w:rFonts w:cs="Times"/>
          <w:noProof/>
          <w:szCs w:val="24"/>
        </w:rPr>
        <w:t>, 68–75.</w:t>
      </w:r>
    </w:p>
    <w:p w14:paraId="3DFDE277"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14</w:t>
      </w:r>
      <w:r w:rsidRPr="00EC5244">
        <w:rPr>
          <w:rFonts w:cs="Times"/>
          <w:noProof/>
          <w:szCs w:val="24"/>
        </w:rPr>
        <w:tab/>
        <w:t xml:space="preserve">H. S. Frank and M. W. Evans, </w:t>
      </w:r>
      <w:r w:rsidRPr="00EC5244">
        <w:rPr>
          <w:rFonts w:cs="Times"/>
          <w:i/>
          <w:iCs/>
          <w:noProof/>
          <w:szCs w:val="24"/>
        </w:rPr>
        <w:t>J. Chem. Phys.</w:t>
      </w:r>
      <w:r w:rsidRPr="00EC5244">
        <w:rPr>
          <w:rFonts w:cs="Times"/>
          <w:noProof/>
          <w:szCs w:val="24"/>
        </w:rPr>
        <w:t xml:space="preserve">, 1945, </w:t>
      </w:r>
      <w:r w:rsidRPr="00EC5244">
        <w:rPr>
          <w:rFonts w:cs="Times"/>
          <w:b/>
          <w:bCs/>
          <w:noProof/>
          <w:szCs w:val="24"/>
        </w:rPr>
        <w:t>13</w:t>
      </w:r>
      <w:r w:rsidRPr="00EC5244">
        <w:rPr>
          <w:rFonts w:cs="Times"/>
          <w:noProof/>
          <w:szCs w:val="24"/>
        </w:rPr>
        <w:t>, 507–532.</w:t>
      </w:r>
    </w:p>
    <w:p w14:paraId="4FE5C27A"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15</w:t>
      </w:r>
      <w:r w:rsidRPr="00EC5244">
        <w:rPr>
          <w:rFonts w:cs="Times"/>
          <w:noProof/>
          <w:szCs w:val="24"/>
        </w:rPr>
        <w:tab/>
        <w:t xml:space="preserve">W. Kauzmann, </w:t>
      </w:r>
      <w:r w:rsidRPr="00EC5244">
        <w:rPr>
          <w:rFonts w:cs="Times"/>
          <w:i/>
          <w:iCs/>
          <w:noProof/>
          <w:szCs w:val="24"/>
        </w:rPr>
        <w:t>Adv. Protein Chem.</w:t>
      </w:r>
      <w:r w:rsidRPr="00EC5244">
        <w:rPr>
          <w:rFonts w:cs="Times"/>
          <w:noProof/>
          <w:szCs w:val="24"/>
        </w:rPr>
        <w:t xml:space="preserve">, 1959, </w:t>
      </w:r>
      <w:r w:rsidRPr="00EC5244">
        <w:rPr>
          <w:rFonts w:cs="Times"/>
          <w:b/>
          <w:bCs/>
          <w:noProof/>
          <w:szCs w:val="24"/>
        </w:rPr>
        <w:t>14</w:t>
      </w:r>
      <w:r w:rsidRPr="00EC5244">
        <w:rPr>
          <w:rFonts w:cs="Times"/>
          <w:noProof/>
          <w:szCs w:val="24"/>
        </w:rPr>
        <w:t>, 1–63.</w:t>
      </w:r>
    </w:p>
    <w:p w14:paraId="3C629498"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16</w:t>
      </w:r>
      <w:r w:rsidRPr="00EC5244">
        <w:rPr>
          <w:rFonts w:cs="Times"/>
          <w:noProof/>
          <w:szCs w:val="24"/>
        </w:rPr>
        <w:tab/>
        <w:t xml:space="preserve">R. W. Gurney, </w:t>
      </w:r>
      <w:r w:rsidRPr="00EC5244">
        <w:rPr>
          <w:rFonts w:cs="Times"/>
          <w:i/>
          <w:iCs/>
          <w:noProof/>
          <w:szCs w:val="24"/>
        </w:rPr>
        <w:t>Ionic processes in solution</w:t>
      </w:r>
      <w:r w:rsidRPr="00EC5244">
        <w:rPr>
          <w:rFonts w:cs="Times"/>
          <w:noProof/>
          <w:szCs w:val="24"/>
        </w:rPr>
        <w:t>, New York, 1953.</w:t>
      </w:r>
    </w:p>
    <w:p w14:paraId="2CEB4FA1"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17</w:t>
      </w:r>
      <w:r w:rsidRPr="00EC5244">
        <w:rPr>
          <w:rFonts w:cs="Times"/>
          <w:noProof/>
          <w:szCs w:val="24"/>
        </w:rPr>
        <w:tab/>
        <w:t xml:space="preserve">R. A. Robinson and R. H. Stokes, </w:t>
      </w:r>
      <w:r w:rsidRPr="00EC5244">
        <w:rPr>
          <w:rFonts w:cs="Times"/>
          <w:i/>
          <w:iCs/>
          <w:noProof/>
          <w:szCs w:val="24"/>
        </w:rPr>
        <w:t>Electrolyte solutions</w:t>
      </w:r>
      <w:r w:rsidRPr="00EC5244">
        <w:rPr>
          <w:rFonts w:cs="Times"/>
          <w:noProof/>
          <w:szCs w:val="24"/>
        </w:rPr>
        <w:t>, Butterworths, London, 1955.</w:t>
      </w:r>
    </w:p>
    <w:p w14:paraId="5A5AA71B"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18</w:t>
      </w:r>
      <w:r w:rsidRPr="00EC5244">
        <w:rPr>
          <w:rFonts w:cs="Times"/>
          <w:noProof/>
          <w:szCs w:val="24"/>
        </w:rPr>
        <w:tab/>
        <w:t xml:space="preserve">H. S. Frank and W.-Y. Wen, </w:t>
      </w:r>
      <w:r w:rsidRPr="00EC5244">
        <w:rPr>
          <w:rFonts w:cs="Times"/>
          <w:i/>
          <w:iCs/>
          <w:noProof/>
          <w:szCs w:val="24"/>
        </w:rPr>
        <w:t>Discuss. Faraday Soc.</w:t>
      </w:r>
      <w:r w:rsidRPr="00EC5244">
        <w:rPr>
          <w:rFonts w:cs="Times"/>
          <w:noProof/>
          <w:szCs w:val="24"/>
        </w:rPr>
        <w:t xml:space="preserve">, 1957, </w:t>
      </w:r>
      <w:r w:rsidRPr="00EC5244">
        <w:rPr>
          <w:rFonts w:cs="Times"/>
          <w:b/>
          <w:bCs/>
          <w:noProof/>
          <w:szCs w:val="24"/>
        </w:rPr>
        <w:t>24</w:t>
      </w:r>
      <w:r w:rsidRPr="00EC5244">
        <w:rPr>
          <w:rFonts w:cs="Times"/>
          <w:noProof/>
          <w:szCs w:val="24"/>
        </w:rPr>
        <w:t>, 133.</w:t>
      </w:r>
    </w:p>
    <w:p w14:paraId="62C9ABEB"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19</w:t>
      </w:r>
      <w:r w:rsidRPr="00EC5244">
        <w:rPr>
          <w:rFonts w:cs="Times"/>
          <w:noProof/>
          <w:szCs w:val="24"/>
        </w:rPr>
        <w:tab/>
        <w:t xml:space="preserve">O. Y. Samoilov, </w:t>
      </w:r>
      <w:r w:rsidRPr="00EC5244">
        <w:rPr>
          <w:rFonts w:cs="Times"/>
          <w:i/>
          <w:iCs/>
          <w:noProof/>
          <w:szCs w:val="24"/>
        </w:rPr>
        <w:t>Discuss. Faraday Soc.</w:t>
      </w:r>
      <w:r w:rsidRPr="00EC5244">
        <w:rPr>
          <w:rFonts w:cs="Times"/>
          <w:noProof/>
          <w:szCs w:val="24"/>
        </w:rPr>
        <w:t xml:space="preserve">, 1957, </w:t>
      </w:r>
      <w:r w:rsidRPr="00EC5244">
        <w:rPr>
          <w:rFonts w:cs="Times"/>
          <w:b/>
          <w:bCs/>
          <w:noProof/>
          <w:szCs w:val="24"/>
        </w:rPr>
        <w:t>24</w:t>
      </w:r>
      <w:r w:rsidRPr="00EC5244">
        <w:rPr>
          <w:rFonts w:cs="Times"/>
          <w:noProof/>
          <w:szCs w:val="24"/>
        </w:rPr>
        <w:t>, 141.</w:t>
      </w:r>
    </w:p>
    <w:p w14:paraId="6DD552E6"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20</w:t>
      </w:r>
      <w:r w:rsidRPr="00EC5244">
        <w:rPr>
          <w:rFonts w:cs="Times"/>
          <w:noProof/>
          <w:szCs w:val="24"/>
        </w:rPr>
        <w:tab/>
        <w:t xml:space="preserve">H. S. Frank and F. Franks, </w:t>
      </w:r>
      <w:r w:rsidRPr="00EC5244">
        <w:rPr>
          <w:rFonts w:cs="Times"/>
          <w:i/>
          <w:iCs/>
          <w:noProof/>
          <w:szCs w:val="24"/>
        </w:rPr>
        <w:t>J. Chem. Phys.</w:t>
      </w:r>
      <w:r w:rsidRPr="00EC5244">
        <w:rPr>
          <w:rFonts w:cs="Times"/>
          <w:noProof/>
          <w:szCs w:val="24"/>
        </w:rPr>
        <w:t xml:space="preserve">, 1968, </w:t>
      </w:r>
      <w:r w:rsidRPr="00EC5244">
        <w:rPr>
          <w:rFonts w:cs="Times"/>
          <w:b/>
          <w:bCs/>
          <w:noProof/>
          <w:szCs w:val="24"/>
        </w:rPr>
        <w:t>48</w:t>
      </w:r>
      <w:r w:rsidRPr="00EC5244">
        <w:rPr>
          <w:rFonts w:cs="Times"/>
          <w:noProof/>
          <w:szCs w:val="24"/>
        </w:rPr>
        <w:t>, 4746–4757.</w:t>
      </w:r>
    </w:p>
    <w:p w14:paraId="2BDA3D6A"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21</w:t>
      </w:r>
      <w:r w:rsidRPr="00EC5244">
        <w:rPr>
          <w:rFonts w:cs="Times"/>
          <w:noProof/>
          <w:szCs w:val="24"/>
        </w:rPr>
        <w:tab/>
        <w:t xml:space="preserve">W. Thomson (Lord Kelvin), </w:t>
      </w:r>
      <w:r w:rsidRPr="00EC5244">
        <w:rPr>
          <w:rFonts w:cs="Times"/>
          <w:i/>
          <w:iCs/>
          <w:noProof/>
          <w:szCs w:val="24"/>
        </w:rPr>
        <w:t>Popular lectures and addresses</w:t>
      </w:r>
      <w:r w:rsidRPr="00EC5244">
        <w:rPr>
          <w:rFonts w:cs="Times"/>
          <w:noProof/>
          <w:szCs w:val="24"/>
        </w:rPr>
        <w:t>, Macmillan, London, 1889.</w:t>
      </w:r>
    </w:p>
    <w:p w14:paraId="6E72C8B9"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22</w:t>
      </w:r>
      <w:r w:rsidRPr="00EC5244">
        <w:rPr>
          <w:rFonts w:cs="Times"/>
          <w:noProof/>
          <w:szCs w:val="24"/>
        </w:rPr>
        <w:tab/>
        <w:t xml:space="preserve">J. G. Kirkwood and F. P. Buff, </w:t>
      </w:r>
      <w:r w:rsidRPr="00EC5244">
        <w:rPr>
          <w:rFonts w:cs="Times"/>
          <w:i/>
          <w:iCs/>
          <w:noProof/>
          <w:szCs w:val="24"/>
        </w:rPr>
        <w:t>J. Chem. Phys.</w:t>
      </w:r>
      <w:r w:rsidRPr="00EC5244">
        <w:rPr>
          <w:rFonts w:cs="Times"/>
          <w:noProof/>
          <w:szCs w:val="24"/>
        </w:rPr>
        <w:t xml:space="preserve">, 1951, </w:t>
      </w:r>
      <w:r w:rsidRPr="00EC5244">
        <w:rPr>
          <w:rFonts w:cs="Times"/>
          <w:b/>
          <w:bCs/>
          <w:noProof/>
          <w:szCs w:val="24"/>
        </w:rPr>
        <w:t>19</w:t>
      </w:r>
      <w:r w:rsidRPr="00EC5244">
        <w:rPr>
          <w:rFonts w:cs="Times"/>
          <w:noProof/>
          <w:szCs w:val="24"/>
        </w:rPr>
        <w:t>, 774–777.</w:t>
      </w:r>
    </w:p>
    <w:p w14:paraId="448B4A68"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23</w:t>
      </w:r>
      <w:r w:rsidRPr="00EC5244">
        <w:rPr>
          <w:rFonts w:cs="Times"/>
          <w:noProof/>
          <w:szCs w:val="24"/>
        </w:rPr>
        <w:tab/>
        <w:t xml:space="preserve">D. G. Hall, </w:t>
      </w:r>
      <w:r w:rsidRPr="00EC5244">
        <w:rPr>
          <w:rFonts w:cs="Times"/>
          <w:i/>
          <w:iCs/>
          <w:noProof/>
          <w:szCs w:val="24"/>
        </w:rPr>
        <w:t>Trans. Faraday Soc.</w:t>
      </w:r>
      <w:r w:rsidRPr="00EC5244">
        <w:rPr>
          <w:rFonts w:cs="Times"/>
          <w:noProof/>
          <w:szCs w:val="24"/>
        </w:rPr>
        <w:t xml:space="preserve">, 1971, </w:t>
      </w:r>
      <w:r w:rsidRPr="00EC5244">
        <w:rPr>
          <w:rFonts w:cs="Times"/>
          <w:b/>
          <w:bCs/>
          <w:noProof/>
          <w:szCs w:val="24"/>
        </w:rPr>
        <w:t>67</w:t>
      </w:r>
      <w:r w:rsidRPr="00EC5244">
        <w:rPr>
          <w:rFonts w:cs="Times"/>
          <w:noProof/>
          <w:szCs w:val="24"/>
        </w:rPr>
        <w:t>, 2516–2524.</w:t>
      </w:r>
    </w:p>
    <w:p w14:paraId="2EB25285"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24</w:t>
      </w:r>
      <w:r w:rsidRPr="00EC5244">
        <w:rPr>
          <w:rFonts w:cs="Times"/>
          <w:noProof/>
          <w:szCs w:val="24"/>
        </w:rPr>
        <w:tab/>
        <w:t xml:space="preserve">A. Ben-Naim, </w:t>
      </w:r>
      <w:r w:rsidRPr="00EC5244">
        <w:rPr>
          <w:rFonts w:cs="Times"/>
          <w:i/>
          <w:iCs/>
          <w:noProof/>
          <w:szCs w:val="24"/>
        </w:rPr>
        <w:t>J. Chem. Phys.</w:t>
      </w:r>
      <w:r w:rsidRPr="00EC5244">
        <w:rPr>
          <w:rFonts w:cs="Times"/>
          <w:noProof/>
          <w:szCs w:val="24"/>
        </w:rPr>
        <w:t xml:space="preserve">, 1977, </w:t>
      </w:r>
      <w:r w:rsidRPr="00EC5244">
        <w:rPr>
          <w:rFonts w:cs="Times"/>
          <w:b/>
          <w:bCs/>
          <w:noProof/>
          <w:szCs w:val="24"/>
        </w:rPr>
        <w:t>67</w:t>
      </w:r>
      <w:r w:rsidRPr="00EC5244">
        <w:rPr>
          <w:rFonts w:cs="Times"/>
          <w:noProof/>
          <w:szCs w:val="24"/>
        </w:rPr>
        <w:t>, 4884–4890.</w:t>
      </w:r>
    </w:p>
    <w:p w14:paraId="0A1490E3"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25</w:t>
      </w:r>
      <w:r w:rsidRPr="00EC5244">
        <w:rPr>
          <w:rFonts w:cs="Times"/>
          <w:noProof/>
          <w:szCs w:val="24"/>
        </w:rPr>
        <w:tab/>
        <w:t xml:space="preserve">S. Shimizu, </w:t>
      </w:r>
      <w:r w:rsidRPr="00EC5244">
        <w:rPr>
          <w:rFonts w:cs="Times"/>
          <w:i/>
          <w:iCs/>
          <w:noProof/>
          <w:szCs w:val="24"/>
        </w:rPr>
        <w:t>Proc. Natl. Acad. Sci. U. S. A.</w:t>
      </w:r>
      <w:r w:rsidRPr="00EC5244">
        <w:rPr>
          <w:rFonts w:cs="Times"/>
          <w:noProof/>
          <w:szCs w:val="24"/>
        </w:rPr>
        <w:t xml:space="preserve">, 2004, </w:t>
      </w:r>
      <w:r w:rsidRPr="00EC5244">
        <w:rPr>
          <w:rFonts w:cs="Times"/>
          <w:b/>
          <w:bCs/>
          <w:noProof/>
          <w:szCs w:val="24"/>
        </w:rPr>
        <w:t>101</w:t>
      </w:r>
      <w:r w:rsidRPr="00EC5244">
        <w:rPr>
          <w:rFonts w:cs="Times"/>
          <w:noProof/>
          <w:szCs w:val="24"/>
        </w:rPr>
        <w:t>, 1195–1199.</w:t>
      </w:r>
    </w:p>
    <w:p w14:paraId="5206FC67"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26</w:t>
      </w:r>
      <w:r w:rsidRPr="00EC5244">
        <w:rPr>
          <w:rFonts w:cs="Times"/>
          <w:noProof/>
          <w:szCs w:val="24"/>
        </w:rPr>
        <w:tab/>
        <w:t xml:space="preserve">S. Shimizu and C. L. Boon, </w:t>
      </w:r>
      <w:r w:rsidRPr="00EC5244">
        <w:rPr>
          <w:rFonts w:cs="Times"/>
          <w:i/>
          <w:iCs/>
          <w:noProof/>
          <w:szCs w:val="24"/>
        </w:rPr>
        <w:t>J. Chem. Phys.</w:t>
      </w:r>
      <w:r w:rsidRPr="00EC5244">
        <w:rPr>
          <w:rFonts w:cs="Times"/>
          <w:noProof/>
          <w:szCs w:val="24"/>
        </w:rPr>
        <w:t xml:space="preserve">, 2004, </w:t>
      </w:r>
      <w:r w:rsidRPr="00EC5244">
        <w:rPr>
          <w:rFonts w:cs="Times"/>
          <w:b/>
          <w:bCs/>
          <w:noProof/>
          <w:szCs w:val="24"/>
        </w:rPr>
        <w:t>121</w:t>
      </w:r>
      <w:r w:rsidRPr="00EC5244">
        <w:rPr>
          <w:rFonts w:cs="Times"/>
          <w:noProof/>
          <w:szCs w:val="24"/>
        </w:rPr>
        <w:t>, 9147–9155.</w:t>
      </w:r>
    </w:p>
    <w:p w14:paraId="710DCE23"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27</w:t>
      </w:r>
      <w:r w:rsidRPr="00EC5244">
        <w:rPr>
          <w:rFonts w:cs="Times"/>
          <w:noProof/>
          <w:szCs w:val="24"/>
        </w:rPr>
        <w:tab/>
        <w:t xml:space="preserve">S. Shimizu and N. Matubayasi, </w:t>
      </w:r>
      <w:r w:rsidRPr="00EC5244">
        <w:rPr>
          <w:rFonts w:cs="Times"/>
          <w:i/>
          <w:iCs/>
          <w:noProof/>
          <w:szCs w:val="24"/>
        </w:rPr>
        <w:t>J. Phys. Chem. B</w:t>
      </w:r>
      <w:r w:rsidRPr="00EC5244">
        <w:rPr>
          <w:rFonts w:cs="Times"/>
          <w:noProof/>
          <w:szCs w:val="24"/>
        </w:rPr>
        <w:t xml:space="preserve">, 2014, </w:t>
      </w:r>
      <w:r w:rsidRPr="00EC5244">
        <w:rPr>
          <w:rFonts w:cs="Times"/>
          <w:b/>
          <w:bCs/>
          <w:noProof/>
          <w:szCs w:val="24"/>
        </w:rPr>
        <w:t>118</w:t>
      </w:r>
      <w:r w:rsidRPr="00EC5244">
        <w:rPr>
          <w:rFonts w:cs="Times"/>
          <w:noProof/>
          <w:szCs w:val="24"/>
        </w:rPr>
        <w:t>, 3922–3930.</w:t>
      </w:r>
    </w:p>
    <w:p w14:paraId="39AA02EF"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28</w:t>
      </w:r>
      <w:r w:rsidRPr="00EC5244">
        <w:rPr>
          <w:rFonts w:cs="Times"/>
          <w:noProof/>
          <w:szCs w:val="24"/>
        </w:rPr>
        <w:tab/>
        <w:t xml:space="preserve">S. Shimizu, R. Stenner and N. Matubayasi, </w:t>
      </w:r>
      <w:r w:rsidRPr="00EC5244">
        <w:rPr>
          <w:rFonts w:cs="Times"/>
          <w:i/>
          <w:iCs/>
          <w:noProof/>
          <w:szCs w:val="24"/>
        </w:rPr>
        <w:t>Food Hydrocoll.</w:t>
      </w:r>
      <w:r w:rsidRPr="00EC5244">
        <w:rPr>
          <w:rFonts w:cs="Times"/>
          <w:noProof/>
          <w:szCs w:val="24"/>
        </w:rPr>
        <w:t xml:space="preserve">, 2017, </w:t>
      </w:r>
      <w:r w:rsidRPr="00EC5244">
        <w:rPr>
          <w:rFonts w:cs="Times"/>
          <w:b/>
          <w:bCs/>
          <w:noProof/>
          <w:szCs w:val="24"/>
        </w:rPr>
        <w:t>62</w:t>
      </w:r>
      <w:r w:rsidRPr="00EC5244">
        <w:rPr>
          <w:rFonts w:cs="Times"/>
          <w:noProof/>
          <w:szCs w:val="24"/>
        </w:rPr>
        <w:t>, 128–139.</w:t>
      </w:r>
    </w:p>
    <w:p w14:paraId="4A3F6C28"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29</w:t>
      </w:r>
      <w:r w:rsidRPr="00EC5244">
        <w:rPr>
          <w:rFonts w:cs="Times"/>
          <w:noProof/>
          <w:szCs w:val="24"/>
        </w:rPr>
        <w:tab/>
        <w:t xml:space="preserve">T. W. J. Nicol, N. Matubayasi and S. Shimizu, </w:t>
      </w:r>
      <w:r w:rsidRPr="00EC5244">
        <w:rPr>
          <w:rFonts w:cs="Times"/>
          <w:i/>
          <w:iCs/>
          <w:noProof/>
          <w:szCs w:val="24"/>
        </w:rPr>
        <w:t>Phys. Chem. Chem. Phys.</w:t>
      </w:r>
      <w:r w:rsidRPr="00EC5244">
        <w:rPr>
          <w:rFonts w:cs="Times"/>
          <w:noProof/>
          <w:szCs w:val="24"/>
        </w:rPr>
        <w:t xml:space="preserve">, 2016, </w:t>
      </w:r>
      <w:r w:rsidRPr="00EC5244">
        <w:rPr>
          <w:rFonts w:cs="Times"/>
          <w:b/>
          <w:bCs/>
          <w:noProof/>
          <w:szCs w:val="24"/>
        </w:rPr>
        <w:t>18</w:t>
      </w:r>
      <w:r w:rsidRPr="00EC5244">
        <w:rPr>
          <w:rFonts w:cs="Times"/>
          <w:noProof/>
          <w:szCs w:val="24"/>
        </w:rPr>
        <w:t>, 15205–15217.</w:t>
      </w:r>
    </w:p>
    <w:p w14:paraId="7E25127E"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30</w:t>
      </w:r>
      <w:r w:rsidRPr="00EC5244">
        <w:rPr>
          <w:rFonts w:cs="Times"/>
          <w:noProof/>
          <w:szCs w:val="24"/>
        </w:rPr>
        <w:tab/>
        <w:t xml:space="preserve">N. Matubayasi, K. K. Liang and M. Nakahara, </w:t>
      </w:r>
      <w:r w:rsidRPr="00EC5244">
        <w:rPr>
          <w:rFonts w:cs="Times"/>
          <w:i/>
          <w:iCs/>
          <w:noProof/>
          <w:szCs w:val="24"/>
        </w:rPr>
        <w:t>J. Chem. Phys.</w:t>
      </w:r>
      <w:r w:rsidRPr="00EC5244">
        <w:rPr>
          <w:rFonts w:cs="Times"/>
          <w:noProof/>
          <w:szCs w:val="24"/>
        </w:rPr>
        <w:t xml:space="preserve">, 2006, </w:t>
      </w:r>
      <w:r w:rsidRPr="00EC5244">
        <w:rPr>
          <w:rFonts w:cs="Times"/>
          <w:b/>
          <w:bCs/>
          <w:noProof/>
          <w:szCs w:val="24"/>
        </w:rPr>
        <w:t>124</w:t>
      </w:r>
      <w:r w:rsidRPr="00EC5244">
        <w:rPr>
          <w:rFonts w:cs="Times"/>
          <w:noProof/>
          <w:szCs w:val="24"/>
        </w:rPr>
        <w:t>, 154908.</w:t>
      </w:r>
    </w:p>
    <w:p w14:paraId="6F43756A"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31</w:t>
      </w:r>
      <w:r w:rsidRPr="00EC5244">
        <w:rPr>
          <w:rFonts w:cs="Times"/>
          <w:noProof/>
          <w:szCs w:val="24"/>
        </w:rPr>
        <w:tab/>
        <w:t xml:space="preserve">J. W. Gibbs, </w:t>
      </w:r>
      <w:r w:rsidRPr="00EC5244">
        <w:rPr>
          <w:rFonts w:cs="Times"/>
          <w:i/>
          <w:iCs/>
          <w:noProof/>
          <w:szCs w:val="24"/>
        </w:rPr>
        <w:t>Trans Conn Acad Arts Sci</w:t>
      </w:r>
      <w:r w:rsidRPr="00EC5244">
        <w:rPr>
          <w:rFonts w:cs="Times"/>
          <w:noProof/>
          <w:szCs w:val="24"/>
        </w:rPr>
        <w:t xml:space="preserve">, 1875, </w:t>
      </w:r>
      <w:r w:rsidRPr="00EC5244">
        <w:rPr>
          <w:rFonts w:cs="Times"/>
          <w:b/>
          <w:bCs/>
          <w:noProof/>
          <w:szCs w:val="24"/>
        </w:rPr>
        <w:t>3</w:t>
      </w:r>
      <w:r w:rsidRPr="00EC5244">
        <w:rPr>
          <w:rFonts w:cs="Times"/>
          <w:noProof/>
          <w:szCs w:val="24"/>
        </w:rPr>
        <w:t>, 108–248.</w:t>
      </w:r>
    </w:p>
    <w:p w14:paraId="09FC5747"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32</w:t>
      </w:r>
      <w:r w:rsidRPr="00EC5244">
        <w:rPr>
          <w:rFonts w:cs="Times"/>
          <w:noProof/>
          <w:szCs w:val="24"/>
        </w:rPr>
        <w:tab/>
        <w:t xml:space="preserve">J. W. Gibbs, </w:t>
      </w:r>
      <w:r w:rsidRPr="00EC5244">
        <w:rPr>
          <w:rFonts w:cs="Times"/>
          <w:i/>
          <w:iCs/>
          <w:noProof/>
          <w:szCs w:val="24"/>
        </w:rPr>
        <w:t>Trans Conn Acad Arts Sci</w:t>
      </w:r>
      <w:r w:rsidRPr="00EC5244">
        <w:rPr>
          <w:rFonts w:cs="Times"/>
          <w:noProof/>
          <w:szCs w:val="24"/>
        </w:rPr>
        <w:t xml:space="preserve">, 1877, </w:t>
      </w:r>
      <w:r w:rsidRPr="00EC5244">
        <w:rPr>
          <w:rFonts w:cs="Times"/>
          <w:b/>
          <w:bCs/>
          <w:noProof/>
          <w:szCs w:val="24"/>
        </w:rPr>
        <w:t>3</w:t>
      </w:r>
      <w:r w:rsidRPr="00EC5244">
        <w:rPr>
          <w:rFonts w:cs="Times"/>
          <w:noProof/>
          <w:szCs w:val="24"/>
        </w:rPr>
        <w:t>, 343–524.</w:t>
      </w:r>
    </w:p>
    <w:p w14:paraId="30ACE455"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33</w:t>
      </w:r>
      <w:r w:rsidRPr="00EC5244">
        <w:rPr>
          <w:rFonts w:cs="Times"/>
          <w:noProof/>
          <w:szCs w:val="24"/>
        </w:rPr>
        <w:tab/>
        <w:t xml:space="preserve">S. Shimizu and N. Matubayasi, </w:t>
      </w:r>
      <w:r w:rsidRPr="00EC5244">
        <w:rPr>
          <w:rFonts w:cs="Times"/>
          <w:i/>
          <w:iCs/>
          <w:noProof/>
          <w:szCs w:val="24"/>
        </w:rPr>
        <w:t>Biophys. Chem.</w:t>
      </w:r>
      <w:r w:rsidRPr="00EC5244">
        <w:rPr>
          <w:rFonts w:cs="Times"/>
          <w:noProof/>
          <w:szCs w:val="24"/>
        </w:rPr>
        <w:t>, 2017, DOI: 10.1016/j.bpc.2017.02.003.</w:t>
      </w:r>
    </w:p>
    <w:p w14:paraId="73C06ACA"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34</w:t>
      </w:r>
      <w:r w:rsidRPr="00EC5244">
        <w:rPr>
          <w:rFonts w:cs="Times"/>
          <w:noProof/>
          <w:szCs w:val="24"/>
        </w:rPr>
        <w:tab/>
        <w:t xml:space="preserve">S. Shimizu and S. Abbott, </w:t>
      </w:r>
      <w:r w:rsidRPr="00EC5244">
        <w:rPr>
          <w:rFonts w:cs="Times"/>
          <w:i/>
          <w:iCs/>
          <w:noProof/>
          <w:szCs w:val="24"/>
        </w:rPr>
        <w:t>J. Phys. Chem. B</w:t>
      </w:r>
      <w:r w:rsidRPr="00EC5244">
        <w:rPr>
          <w:rFonts w:cs="Times"/>
          <w:noProof/>
          <w:szCs w:val="24"/>
        </w:rPr>
        <w:t xml:space="preserve">, 2016, </w:t>
      </w:r>
      <w:r w:rsidRPr="00EC5244">
        <w:rPr>
          <w:rFonts w:cs="Times"/>
          <w:b/>
          <w:bCs/>
          <w:noProof/>
          <w:szCs w:val="24"/>
        </w:rPr>
        <w:t>120</w:t>
      </w:r>
      <w:r w:rsidRPr="00EC5244">
        <w:rPr>
          <w:rFonts w:cs="Times"/>
          <w:noProof/>
          <w:szCs w:val="24"/>
        </w:rPr>
        <w:t>, 3713–3723.</w:t>
      </w:r>
    </w:p>
    <w:p w14:paraId="37CDC663"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35</w:t>
      </w:r>
      <w:r w:rsidRPr="00EC5244">
        <w:rPr>
          <w:rFonts w:cs="Times"/>
          <w:noProof/>
          <w:szCs w:val="24"/>
        </w:rPr>
        <w:tab/>
        <w:t xml:space="preserve">S. N. Timasheff, </w:t>
      </w:r>
      <w:r w:rsidRPr="00EC5244">
        <w:rPr>
          <w:rFonts w:cs="Times"/>
          <w:i/>
          <w:iCs/>
          <w:noProof/>
          <w:szCs w:val="24"/>
        </w:rPr>
        <w:t>Proc. Natl. Acad. Sci.</w:t>
      </w:r>
      <w:r w:rsidRPr="00EC5244">
        <w:rPr>
          <w:rFonts w:cs="Times"/>
          <w:noProof/>
          <w:szCs w:val="24"/>
        </w:rPr>
        <w:t xml:space="preserve">, 1998, </w:t>
      </w:r>
      <w:r w:rsidRPr="00EC5244">
        <w:rPr>
          <w:rFonts w:cs="Times"/>
          <w:b/>
          <w:bCs/>
          <w:noProof/>
          <w:szCs w:val="24"/>
        </w:rPr>
        <w:t>95</w:t>
      </w:r>
      <w:r w:rsidRPr="00EC5244">
        <w:rPr>
          <w:rFonts w:cs="Times"/>
          <w:noProof/>
          <w:szCs w:val="24"/>
        </w:rPr>
        <w:t>, 7363–7367.</w:t>
      </w:r>
    </w:p>
    <w:p w14:paraId="6C40994E"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36</w:t>
      </w:r>
      <w:r w:rsidRPr="00EC5244">
        <w:rPr>
          <w:rFonts w:cs="Times"/>
          <w:noProof/>
          <w:szCs w:val="24"/>
        </w:rPr>
        <w:tab/>
        <w:t xml:space="preserve">V. A. Parsegian, R. P. Rand and D. C. Rau, </w:t>
      </w:r>
      <w:r w:rsidRPr="00EC5244">
        <w:rPr>
          <w:rFonts w:cs="Times"/>
          <w:i/>
          <w:iCs/>
          <w:noProof/>
          <w:szCs w:val="24"/>
        </w:rPr>
        <w:t>Proc. Natl. Acad. Sci. U. S. A.</w:t>
      </w:r>
      <w:r w:rsidRPr="00EC5244">
        <w:rPr>
          <w:rFonts w:cs="Times"/>
          <w:noProof/>
          <w:szCs w:val="24"/>
        </w:rPr>
        <w:t xml:space="preserve">, 2000, </w:t>
      </w:r>
      <w:r w:rsidRPr="00EC5244">
        <w:rPr>
          <w:rFonts w:cs="Times"/>
          <w:b/>
          <w:bCs/>
          <w:noProof/>
          <w:szCs w:val="24"/>
        </w:rPr>
        <w:t>97</w:t>
      </w:r>
      <w:r w:rsidRPr="00EC5244">
        <w:rPr>
          <w:rFonts w:cs="Times"/>
          <w:noProof/>
          <w:szCs w:val="24"/>
        </w:rPr>
        <w:t>, 3987–3992.</w:t>
      </w:r>
    </w:p>
    <w:p w14:paraId="05464145"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37</w:t>
      </w:r>
      <w:r w:rsidRPr="00EC5244">
        <w:rPr>
          <w:rFonts w:cs="Times"/>
          <w:noProof/>
          <w:szCs w:val="24"/>
        </w:rPr>
        <w:tab/>
        <w:t xml:space="preserve">S. N. Timasheff, </w:t>
      </w:r>
      <w:r w:rsidRPr="00EC5244">
        <w:rPr>
          <w:rFonts w:cs="Times"/>
          <w:i/>
          <w:iCs/>
          <w:noProof/>
          <w:szCs w:val="24"/>
        </w:rPr>
        <w:t>Proc. Natl. Acad. Sci.</w:t>
      </w:r>
      <w:r w:rsidRPr="00EC5244">
        <w:rPr>
          <w:rFonts w:cs="Times"/>
          <w:noProof/>
          <w:szCs w:val="24"/>
        </w:rPr>
        <w:t xml:space="preserve">, 2002, </w:t>
      </w:r>
      <w:r w:rsidRPr="00EC5244">
        <w:rPr>
          <w:rFonts w:cs="Times"/>
          <w:b/>
          <w:bCs/>
          <w:noProof/>
          <w:szCs w:val="24"/>
        </w:rPr>
        <w:t>99</w:t>
      </w:r>
      <w:r w:rsidRPr="00EC5244">
        <w:rPr>
          <w:rFonts w:cs="Times"/>
          <w:noProof/>
          <w:szCs w:val="24"/>
        </w:rPr>
        <w:t>, 9721–9726.</w:t>
      </w:r>
    </w:p>
    <w:p w14:paraId="7342B853"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38</w:t>
      </w:r>
      <w:r w:rsidRPr="00EC5244">
        <w:rPr>
          <w:rFonts w:cs="Times"/>
          <w:noProof/>
          <w:szCs w:val="24"/>
        </w:rPr>
        <w:tab/>
        <w:t xml:space="preserve">S. Shimizu, W. M. McLaren and N. Matubayasi, </w:t>
      </w:r>
      <w:r w:rsidRPr="00EC5244">
        <w:rPr>
          <w:rFonts w:cs="Times"/>
          <w:i/>
          <w:iCs/>
          <w:noProof/>
          <w:szCs w:val="24"/>
        </w:rPr>
        <w:t>J. Chem. Phys.</w:t>
      </w:r>
      <w:r w:rsidRPr="00EC5244">
        <w:rPr>
          <w:rFonts w:cs="Times"/>
          <w:noProof/>
          <w:szCs w:val="24"/>
        </w:rPr>
        <w:t xml:space="preserve">, 2006, </w:t>
      </w:r>
      <w:r w:rsidRPr="00EC5244">
        <w:rPr>
          <w:rFonts w:cs="Times"/>
          <w:b/>
          <w:bCs/>
          <w:noProof/>
          <w:szCs w:val="24"/>
        </w:rPr>
        <w:t>124</w:t>
      </w:r>
      <w:r w:rsidRPr="00EC5244">
        <w:rPr>
          <w:rFonts w:cs="Times"/>
          <w:noProof/>
          <w:szCs w:val="24"/>
        </w:rPr>
        <w:t>, 234905/1-234905/4.</w:t>
      </w:r>
    </w:p>
    <w:p w14:paraId="61A63432"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39</w:t>
      </w:r>
      <w:r w:rsidRPr="00EC5244">
        <w:rPr>
          <w:rFonts w:cs="Times"/>
          <w:noProof/>
          <w:szCs w:val="24"/>
        </w:rPr>
        <w:tab/>
        <w:t xml:space="preserve">S. Shimizu, </w:t>
      </w:r>
      <w:r w:rsidRPr="00EC5244">
        <w:rPr>
          <w:rFonts w:cs="Times"/>
          <w:i/>
          <w:iCs/>
          <w:noProof/>
          <w:szCs w:val="24"/>
        </w:rPr>
        <w:t>Chem. Phys. Lett.</w:t>
      </w:r>
      <w:r w:rsidRPr="00EC5244">
        <w:rPr>
          <w:rFonts w:cs="Times"/>
          <w:noProof/>
          <w:szCs w:val="24"/>
        </w:rPr>
        <w:t xml:space="preserve">, 2011, </w:t>
      </w:r>
      <w:r w:rsidRPr="00EC5244">
        <w:rPr>
          <w:rFonts w:cs="Times"/>
          <w:b/>
          <w:bCs/>
          <w:noProof/>
          <w:szCs w:val="24"/>
        </w:rPr>
        <w:t>514</w:t>
      </w:r>
      <w:r w:rsidRPr="00EC5244">
        <w:rPr>
          <w:rFonts w:cs="Times"/>
          <w:noProof/>
          <w:szCs w:val="24"/>
        </w:rPr>
        <w:t>, 156–158.</w:t>
      </w:r>
    </w:p>
    <w:p w14:paraId="402D5FAB"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40</w:t>
      </w:r>
      <w:r w:rsidRPr="00EC5244">
        <w:rPr>
          <w:rFonts w:cs="Times"/>
          <w:noProof/>
          <w:szCs w:val="24"/>
        </w:rPr>
        <w:tab/>
        <w:t xml:space="preserve">S. Shimizu and N. Matubayasi, </w:t>
      </w:r>
      <w:r w:rsidRPr="00EC5244">
        <w:rPr>
          <w:rFonts w:cs="Times"/>
          <w:i/>
          <w:iCs/>
          <w:noProof/>
          <w:szCs w:val="24"/>
        </w:rPr>
        <w:t>J. Phys. Chem. B</w:t>
      </w:r>
      <w:r w:rsidRPr="00EC5244">
        <w:rPr>
          <w:rFonts w:cs="Times"/>
          <w:noProof/>
          <w:szCs w:val="24"/>
        </w:rPr>
        <w:t xml:space="preserve">, 2014, </w:t>
      </w:r>
      <w:r w:rsidRPr="00EC5244">
        <w:rPr>
          <w:rFonts w:cs="Times"/>
          <w:b/>
          <w:bCs/>
          <w:noProof/>
          <w:szCs w:val="24"/>
        </w:rPr>
        <w:t>118</w:t>
      </w:r>
      <w:r w:rsidRPr="00EC5244">
        <w:rPr>
          <w:rFonts w:cs="Times"/>
          <w:noProof/>
          <w:szCs w:val="24"/>
        </w:rPr>
        <w:t>, 13210–13216.</w:t>
      </w:r>
    </w:p>
    <w:p w14:paraId="27BC067A"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41</w:t>
      </w:r>
      <w:r w:rsidRPr="00EC5244">
        <w:rPr>
          <w:rFonts w:cs="Times"/>
          <w:noProof/>
          <w:szCs w:val="24"/>
        </w:rPr>
        <w:tab/>
        <w:t xml:space="preserve">R. Stenner, N. Matubayasi and S. Shimizu, </w:t>
      </w:r>
      <w:r w:rsidRPr="00EC5244">
        <w:rPr>
          <w:rFonts w:cs="Times"/>
          <w:i/>
          <w:iCs/>
          <w:noProof/>
          <w:szCs w:val="24"/>
        </w:rPr>
        <w:t>Food Hydrocoll.</w:t>
      </w:r>
      <w:r w:rsidRPr="00EC5244">
        <w:rPr>
          <w:rFonts w:cs="Times"/>
          <w:noProof/>
          <w:szCs w:val="24"/>
        </w:rPr>
        <w:t xml:space="preserve">, 2016, </w:t>
      </w:r>
      <w:r w:rsidRPr="00EC5244">
        <w:rPr>
          <w:rFonts w:cs="Times"/>
          <w:b/>
          <w:bCs/>
          <w:noProof/>
          <w:szCs w:val="24"/>
        </w:rPr>
        <w:t>54</w:t>
      </w:r>
      <w:r w:rsidRPr="00EC5244">
        <w:rPr>
          <w:rFonts w:cs="Times"/>
          <w:noProof/>
          <w:szCs w:val="24"/>
        </w:rPr>
        <w:t>, 284–292.</w:t>
      </w:r>
    </w:p>
    <w:p w14:paraId="73514A9D"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42</w:t>
      </w:r>
      <w:r w:rsidRPr="00EC5244">
        <w:rPr>
          <w:rFonts w:cs="Times"/>
          <w:noProof/>
          <w:szCs w:val="24"/>
        </w:rPr>
        <w:tab/>
        <w:t xml:space="preserve">D. Attwood and A. T. Florence, in </w:t>
      </w:r>
      <w:r w:rsidRPr="00EC5244">
        <w:rPr>
          <w:rFonts w:cs="Times"/>
          <w:i/>
          <w:iCs/>
          <w:noProof/>
          <w:szCs w:val="24"/>
        </w:rPr>
        <w:t>Surfactant Systems</w:t>
      </w:r>
      <w:r w:rsidRPr="00EC5244">
        <w:rPr>
          <w:rFonts w:cs="Times"/>
          <w:noProof/>
          <w:szCs w:val="24"/>
        </w:rPr>
        <w:t>, Springer Netherlands, Dordrecht, 1983, pp. 229–292.</w:t>
      </w:r>
    </w:p>
    <w:p w14:paraId="10A85024"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43</w:t>
      </w:r>
      <w:r w:rsidRPr="00EC5244">
        <w:rPr>
          <w:rFonts w:cs="Times"/>
          <w:noProof/>
          <w:szCs w:val="24"/>
        </w:rPr>
        <w:tab/>
        <w:t xml:space="preserve">F. A. Alvarez-Núñez and S. H. Yalkowsky, </w:t>
      </w:r>
      <w:r w:rsidRPr="00EC5244">
        <w:rPr>
          <w:rFonts w:cs="Times"/>
          <w:i/>
          <w:iCs/>
          <w:noProof/>
          <w:szCs w:val="24"/>
        </w:rPr>
        <w:t>Int. J. Pharm.</w:t>
      </w:r>
      <w:r w:rsidRPr="00EC5244">
        <w:rPr>
          <w:rFonts w:cs="Times"/>
          <w:noProof/>
          <w:szCs w:val="24"/>
        </w:rPr>
        <w:t xml:space="preserve">, 2000, </w:t>
      </w:r>
      <w:r w:rsidRPr="00EC5244">
        <w:rPr>
          <w:rFonts w:cs="Times"/>
          <w:b/>
          <w:bCs/>
          <w:noProof/>
          <w:szCs w:val="24"/>
        </w:rPr>
        <w:t>200</w:t>
      </w:r>
      <w:r w:rsidRPr="00EC5244">
        <w:rPr>
          <w:rFonts w:cs="Times"/>
          <w:noProof/>
          <w:szCs w:val="24"/>
        </w:rPr>
        <w:t>, 217–222.</w:t>
      </w:r>
    </w:p>
    <w:p w14:paraId="24172628"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44</w:t>
      </w:r>
      <w:r w:rsidRPr="00EC5244">
        <w:rPr>
          <w:rFonts w:cs="Times"/>
          <w:noProof/>
          <w:szCs w:val="24"/>
        </w:rPr>
        <w:tab/>
        <w:t xml:space="preserve">C. De Oliveira, R. Yagui, A. Lineu Prestes, C. O. Rangel-Yagui, A. Pessoa-Jr and L. C. Tavares, </w:t>
      </w:r>
      <w:r w:rsidRPr="00EC5244">
        <w:rPr>
          <w:rFonts w:cs="Times"/>
          <w:i/>
          <w:iCs/>
          <w:noProof/>
          <w:szCs w:val="24"/>
        </w:rPr>
        <w:t>J Pharm Pharm. Sci</w:t>
      </w:r>
      <w:r w:rsidRPr="00EC5244">
        <w:rPr>
          <w:rFonts w:cs="Times"/>
          <w:noProof/>
          <w:szCs w:val="24"/>
        </w:rPr>
        <w:t xml:space="preserve">, 2005, </w:t>
      </w:r>
      <w:r w:rsidRPr="00EC5244">
        <w:rPr>
          <w:rFonts w:cs="Times"/>
          <w:b/>
          <w:bCs/>
          <w:noProof/>
          <w:szCs w:val="24"/>
        </w:rPr>
        <w:t>8</w:t>
      </w:r>
      <w:r w:rsidRPr="00EC5244">
        <w:rPr>
          <w:rFonts w:cs="Times"/>
          <w:noProof/>
          <w:szCs w:val="24"/>
        </w:rPr>
        <w:t>, 147–163.</w:t>
      </w:r>
    </w:p>
    <w:p w14:paraId="271FA566"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45</w:t>
      </w:r>
      <w:r w:rsidRPr="00EC5244">
        <w:rPr>
          <w:rFonts w:cs="Times"/>
          <w:noProof/>
          <w:szCs w:val="24"/>
        </w:rPr>
        <w:tab/>
        <w:t xml:space="preserve">J. H. Collett and L. Koo, </w:t>
      </w:r>
      <w:r w:rsidRPr="00EC5244">
        <w:rPr>
          <w:rFonts w:cs="Times"/>
          <w:i/>
          <w:iCs/>
          <w:noProof/>
          <w:szCs w:val="24"/>
        </w:rPr>
        <w:t>J. Pharm. Sci.</w:t>
      </w:r>
      <w:r w:rsidRPr="00EC5244">
        <w:rPr>
          <w:rFonts w:cs="Times"/>
          <w:noProof/>
          <w:szCs w:val="24"/>
        </w:rPr>
        <w:t xml:space="preserve">, 1975, </w:t>
      </w:r>
      <w:r w:rsidRPr="00EC5244">
        <w:rPr>
          <w:rFonts w:cs="Times"/>
          <w:b/>
          <w:bCs/>
          <w:noProof/>
          <w:szCs w:val="24"/>
        </w:rPr>
        <w:t>64</w:t>
      </w:r>
      <w:r w:rsidRPr="00EC5244">
        <w:rPr>
          <w:rFonts w:cs="Times"/>
          <w:noProof/>
          <w:szCs w:val="24"/>
        </w:rPr>
        <w:t>, 1253–1255.</w:t>
      </w:r>
    </w:p>
    <w:p w14:paraId="0418FDDE"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46</w:t>
      </w:r>
      <w:r w:rsidRPr="00EC5244">
        <w:rPr>
          <w:rFonts w:cs="Times"/>
          <w:noProof/>
          <w:szCs w:val="24"/>
        </w:rPr>
        <w:tab/>
        <w:t xml:space="preserve">D. E. Kile and C. T. Chiou, </w:t>
      </w:r>
      <w:r w:rsidRPr="00EC5244">
        <w:rPr>
          <w:rFonts w:cs="Times"/>
          <w:i/>
          <w:iCs/>
          <w:noProof/>
          <w:szCs w:val="24"/>
        </w:rPr>
        <w:t>Environ. Sci. Technol.</w:t>
      </w:r>
      <w:r w:rsidRPr="00EC5244">
        <w:rPr>
          <w:rFonts w:cs="Times"/>
          <w:noProof/>
          <w:szCs w:val="24"/>
        </w:rPr>
        <w:t xml:space="preserve">, 1989, </w:t>
      </w:r>
      <w:r w:rsidRPr="00EC5244">
        <w:rPr>
          <w:rFonts w:cs="Times"/>
          <w:b/>
          <w:bCs/>
          <w:noProof/>
          <w:szCs w:val="24"/>
        </w:rPr>
        <w:t>23</w:t>
      </w:r>
      <w:r w:rsidRPr="00EC5244">
        <w:rPr>
          <w:rFonts w:cs="Times"/>
          <w:noProof/>
          <w:szCs w:val="24"/>
        </w:rPr>
        <w:t>, 832–838.</w:t>
      </w:r>
    </w:p>
    <w:p w14:paraId="4DCFEFE2"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47</w:t>
      </w:r>
      <w:r w:rsidRPr="00EC5244">
        <w:rPr>
          <w:rFonts w:cs="Times"/>
          <w:noProof/>
          <w:szCs w:val="24"/>
        </w:rPr>
        <w:tab/>
        <w:t xml:space="preserve">E. H. K. Shinoda, </w:t>
      </w:r>
      <w:r w:rsidRPr="00EC5244">
        <w:rPr>
          <w:rFonts w:cs="Times"/>
          <w:i/>
          <w:iCs/>
          <w:noProof/>
          <w:szCs w:val="24"/>
        </w:rPr>
        <w:t>J. Phys. Chem.</w:t>
      </w:r>
      <w:r w:rsidRPr="00EC5244">
        <w:rPr>
          <w:rFonts w:cs="Times"/>
          <w:noProof/>
          <w:szCs w:val="24"/>
        </w:rPr>
        <w:t xml:space="preserve">, 1961, </w:t>
      </w:r>
      <w:r w:rsidRPr="00EC5244">
        <w:rPr>
          <w:rFonts w:cs="Times"/>
          <w:b/>
          <w:bCs/>
          <w:noProof/>
          <w:szCs w:val="24"/>
        </w:rPr>
        <w:t>66</w:t>
      </w:r>
      <w:r w:rsidRPr="00EC5244">
        <w:rPr>
          <w:rFonts w:cs="Times"/>
          <w:noProof/>
          <w:szCs w:val="24"/>
        </w:rPr>
        <w:t>, 577–582.</w:t>
      </w:r>
    </w:p>
    <w:p w14:paraId="3D32A0D2"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48</w:t>
      </w:r>
      <w:r w:rsidRPr="00EC5244">
        <w:rPr>
          <w:rFonts w:cs="Times"/>
          <w:noProof/>
          <w:szCs w:val="24"/>
        </w:rPr>
        <w:tab/>
        <w:t xml:space="preserve">A. A. Dar, G. M. Rather and A. R. Das, </w:t>
      </w:r>
      <w:r w:rsidRPr="00EC5244">
        <w:rPr>
          <w:rFonts w:cs="Times"/>
          <w:i/>
          <w:iCs/>
          <w:noProof/>
          <w:szCs w:val="24"/>
        </w:rPr>
        <w:t>J. Phys. Chem. Bhysical Chem. B</w:t>
      </w:r>
      <w:r w:rsidRPr="00EC5244">
        <w:rPr>
          <w:rFonts w:cs="Times"/>
          <w:noProof/>
          <w:szCs w:val="24"/>
        </w:rPr>
        <w:t xml:space="preserve">, 2007, </w:t>
      </w:r>
      <w:r w:rsidRPr="00EC5244">
        <w:rPr>
          <w:rFonts w:cs="Times"/>
          <w:b/>
          <w:bCs/>
          <w:noProof/>
          <w:szCs w:val="24"/>
        </w:rPr>
        <w:t>111</w:t>
      </w:r>
      <w:r w:rsidRPr="00EC5244">
        <w:rPr>
          <w:rFonts w:cs="Times"/>
          <w:noProof/>
          <w:szCs w:val="24"/>
        </w:rPr>
        <w:t>, 3122–3132.</w:t>
      </w:r>
    </w:p>
    <w:p w14:paraId="5A506B75"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49</w:t>
      </w:r>
      <w:r w:rsidRPr="00EC5244">
        <w:rPr>
          <w:rFonts w:cs="Times"/>
          <w:noProof/>
          <w:szCs w:val="24"/>
        </w:rPr>
        <w:tab/>
        <w:t xml:space="preserve">P. A. Bhat, G. M. Rather and A. A. Dar, </w:t>
      </w:r>
      <w:r w:rsidRPr="00EC5244">
        <w:rPr>
          <w:rFonts w:cs="Times"/>
          <w:i/>
          <w:iCs/>
          <w:noProof/>
          <w:szCs w:val="24"/>
        </w:rPr>
        <w:t>J. Phys. Chem. B</w:t>
      </w:r>
      <w:r w:rsidRPr="00EC5244">
        <w:rPr>
          <w:rFonts w:cs="Times"/>
          <w:noProof/>
          <w:szCs w:val="24"/>
        </w:rPr>
        <w:t xml:space="preserve">, 2009, </w:t>
      </w:r>
      <w:r w:rsidRPr="00EC5244">
        <w:rPr>
          <w:rFonts w:cs="Times"/>
          <w:b/>
          <w:bCs/>
          <w:noProof/>
          <w:szCs w:val="24"/>
        </w:rPr>
        <w:t>113</w:t>
      </w:r>
      <w:r w:rsidRPr="00EC5244">
        <w:rPr>
          <w:rFonts w:cs="Times"/>
          <w:noProof/>
          <w:szCs w:val="24"/>
        </w:rPr>
        <w:t>, 997–1006.</w:t>
      </w:r>
    </w:p>
    <w:p w14:paraId="5A37592B"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50</w:t>
      </w:r>
      <w:r w:rsidRPr="00EC5244">
        <w:rPr>
          <w:rFonts w:cs="Times"/>
          <w:noProof/>
          <w:szCs w:val="24"/>
        </w:rPr>
        <w:tab/>
        <w:t xml:space="preserve">A. Ben-Naim, </w:t>
      </w:r>
      <w:r w:rsidRPr="00EC5244">
        <w:rPr>
          <w:rFonts w:cs="Times"/>
          <w:i/>
          <w:iCs/>
          <w:noProof/>
          <w:szCs w:val="24"/>
        </w:rPr>
        <w:t>Molecular Theory of Solutions</w:t>
      </w:r>
      <w:r w:rsidRPr="00EC5244">
        <w:rPr>
          <w:rFonts w:cs="Times"/>
          <w:noProof/>
          <w:szCs w:val="24"/>
        </w:rPr>
        <w:t>, Oxford University Press, Oxford, 2006.</w:t>
      </w:r>
    </w:p>
    <w:p w14:paraId="1864B585"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51</w:t>
      </w:r>
      <w:r w:rsidRPr="00EC5244">
        <w:rPr>
          <w:rFonts w:cs="Times"/>
          <w:noProof/>
          <w:szCs w:val="24"/>
        </w:rPr>
        <w:tab/>
        <w:t xml:space="preserve">P. E. Smith, </w:t>
      </w:r>
      <w:r w:rsidRPr="00EC5244">
        <w:rPr>
          <w:rFonts w:cs="Times"/>
          <w:i/>
          <w:iCs/>
          <w:noProof/>
          <w:szCs w:val="24"/>
        </w:rPr>
        <w:t>J. Chem. Phys.</w:t>
      </w:r>
      <w:r w:rsidRPr="00EC5244">
        <w:rPr>
          <w:rFonts w:cs="Times"/>
          <w:noProof/>
          <w:szCs w:val="24"/>
        </w:rPr>
        <w:t xml:space="preserve">, 2008, </w:t>
      </w:r>
      <w:r w:rsidRPr="00EC5244">
        <w:rPr>
          <w:rFonts w:cs="Times"/>
          <w:b/>
          <w:bCs/>
          <w:noProof/>
          <w:szCs w:val="24"/>
        </w:rPr>
        <w:t>129</w:t>
      </w:r>
      <w:r w:rsidRPr="00EC5244">
        <w:rPr>
          <w:rFonts w:cs="Times"/>
          <w:noProof/>
          <w:szCs w:val="24"/>
        </w:rPr>
        <w:t>, 124509.</w:t>
      </w:r>
    </w:p>
    <w:p w14:paraId="6A945C32"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52</w:t>
      </w:r>
      <w:r w:rsidRPr="00EC5244">
        <w:rPr>
          <w:rFonts w:cs="Times"/>
          <w:noProof/>
          <w:szCs w:val="24"/>
        </w:rPr>
        <w:tab/>
        <w:t xml:space="preserve">D. Gazzillo, </w:t>
      </w:r>
      <w:r w:rsidRPr="00EC5244">
        <w:rPr>
          <w:rFonts w:cs="Times"/>
          <w:i/>
          <w:iCs/>
          <w:noProof/>
          <w:szCs w:val="24"/>
        </w:rPr>
        <w:t>Mol. Phys.</w:t>
      </w:r>
      <w:r w:rsidRPr="00EC5244">
        <w:rPr>
          <w:rFonts w:cs="Times"/>
          <w:noProof/>
          <w:szCs w:val="24"/>
        </w:rPr>
        <w:t xml:space="preserve">, 1994, </w:t>
      </w:r>
      <w:r w:rsidRPr="00EC5244">
        <w:rPr>
          <w:rFonts w:cs="Times"/>
          <w:b/>
          <w:bCs/>
          <w:noProof/>
          <w:szCs w:val="24"/>
        </w:rPr>
        <w:t>83</w:t>
      </w:r>
      <w:r w:rsidRPr="00EC5244">
        <w:rPr>
          <w:rFonts w:cs="Times"/>
          <w:noProof/>
          <w:szCs w:val="24"/>
        </w:rPr>
        <w:t>, 1171–1190.</w:t>
      </w:r>
    </w:p>
    <w:p w14:paraId="58A1E2CC"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53</w:t>
      </w:r>
      <w:r w:rsidRPr="00EC5244">
        <w:rPr>
          <w:rFonts w:cs="Times"/>
          <w:noProof/>
          <w:szCs w:val="24"/>
        </w:rPr>
        <w:tab/>
        <w:t xml:space="preserve">T. J. Ward and K. D. Ward, in </w:t>
      </w:r>
      <w:r w:rsidRPr="00EC5244">
        <w:rPr>
          <w:rFonts w:cs="Times"/>
          <w:i/>
          <w:iCs/>
          <w:noProof/>
          <w:szCs w:val="24"/>
        </w:rPr>
        <w:t>Solubilization in surfactant aggregates</w:t>
      </w:r>
      <w:r w:rsidRPr="00EC5244">
        <w:rPr>
          <w:rFonts w:cs="Times"/>
          <w:noProof/>
          <w:szCs w:val="24"/>
        </w:rPr>
        <w:t>, eds. S. D. Christian and J. F. Scamehorn, Marcel Dekker, New York, 1995, pp. 518–540.</w:t>
      </w:r>
    </w:p>
    <w:p w14:paraId="558696E2"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54</w:t>
      </w:r>
      <w:r w:rsidRPr="00EC5244">
        <w:rPr>
          <w:rFonts w:cs="Times"/>
          <w:noProof/>
          <w:szCs w:val="24"/>
        </w:rPr>
        <w:tab/>
        <w:t xml:space="preserve">P. F. Garrido, P. Brocos, A. Amigo, L. García-Río, J. Gracia-Fadrique and Á. Piñeiro, </w:t>
      </w:r>
      <w:r w:rsidRPr="00EC5244">
        <w:rPr>
          <w:rFonts w:cs="Times"/>
          <w:i/>
          <w:iCs/>
          <w:noProof/>
          <w:szCs w:val="24"/>
        </w:rPr>
        <w:t>Langmuir</w:t>
      </w:r>
      <w:r w:rsidRPr="00EC5244">
        <w:rPr>
          <w:rFonts w:cs="Times"/>
          <w:noProof/>
          <w:szCs w:val="24"/>
        </w:rPr>
        <w:t xml:space="preserve">, 2016, </w:t>
      </w:r>
      <w:r w:rsidRPr="00EC5244">
        <w:rPr>
          <w:rFonts w:cs="Times"/>
          <w:b/>
          <w:bCs/>
          <w:noProof/>
          <w:szCs w:val="24"/>
        </w:rPr>
        <w:t>32</w:t>
      </w:r>
      <w:r w:rsidRPr="00EC5244">
        <w:rPr>
          <w:rFonts w:cs="Times"/>
          <w:noProof/>
          <w:szCs w:val="24"/>
        </w:rPr>
        <w:t>, 3917–3925.</w:t>
      </w:r>
    </w:p>
    <w:p w14:paraId="27572FB9"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55</w:t>
      </w:r>
      <w:r w:rsidRPr="00EC5244">
        <w:rPr>
          <w:rFonts w:cs="Times"/>
          <w:noProof/>
          <w:szCs w:val="24"/>
        </w:rPr>
        <w:tab/>
        <w:t xml:space="preserve">T. Buchecker, S. Krickl, R. Winkler, I. Grillo, P. Bauduin, D. Touraud, A. Pfitzner, W. Kunz, R. Cubitt, S. Marelja and W. Kunz, </w:t>
      </w:r>
      <w:r w:rsidRPr="00EC5244">
        <w:rPr>
          <w:rFonts w:cs="Times"/>
          <w:i/>
          <w:iCs/>
          <w:noProof/>
          <w:szCs w:val="24"/>
        </w:rPr>
        <w:t>Phys. Chem. Chem. Phys.</w:t>
      </w:r>
      <w:r w:rsidRPr="00EC5244">
        <w:rPr>
          <w:rFonts w:cs="Times"/>
          <w:noProof/>
          <w:szCs w:val="24"/>
        </w:rPr>
        <w:t xml:space="preserve">, 2017, </w:t>
      </w:r>
      <w:r w:rsidRPr="00EC5244">
        <w:rPr>
          <w:rFonts w:cs="Times"/>
          <w:b/>
          <w:bCs/>
          <w:noProof/>
          <w:szCs w:val="24"/>
        </w:rPr>
        <w:t>19</w:t>
      </w:r>
      <w:r w:rsidRPr="00EC5244">
        <w:rPr>
          <w:rFonts w:cs="Times"/>
          <w:noProof/>
          <w:szCs w:val="24"/>
        </w:rPr>
        <w:t>, 1806–1816.</w:t>
      </w:r>
    </w:p>
    <w:p w14:paraId="56CE9AF5"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56</w:t>
      </w:r>
      <w:r w:rsidRPr="00EC5244">
        <w:rPr>
          <w:rFonts w:cs="Times"/>
          <w:noProof/>
          <w:szCs w:val="24"/>
        </w:rPr>
        <w:tab/>
        <w:t xml:space="preserve">D. Subramanian and M. A. Anisimov, </w:t>
      </w:r>
      <w:r w:rsidRPr="00EC5244">
        <w:rPr>
          <w:rFonts w:cs="Times"/>
          <w:i/>
          <w:iCs/>
          <w:noProof/>
          <w:szCs w:val="24"/>
        </w:rPr>
        <w:t>J. Phys. Chem. B</w:t>
      </w:r>
      <w:r w:rsidRPr="00EC5244">
        <w:rPr>
          <w:rFonts w:cs="Times"/>
          <w:noProof/>
          <w:szCs w:val="24"/>
        </w:rPr>
        <w:t xml:space="preserve">, 2011, </w:t>
      </w:r>
      <w:r w:rsidRPr="00EC5244">
        <w:rPr>
          <w:rFonts w:cs="Times"/>
          <w:b/>
          <w:bCs/>
          <w:noProof/>
          <w:szCs w:val="24"/>
        </w:rPr>
        <w:t>115</w:t>
      </w:r>
      <w:r w:rsidRPr="00EC5244">
        <w:rPr>
          <w:rFonts w:cs="Times"/>
          <w:noProof/>
          <w:szCs w:val="24"/>
        </w:rPr>
        <w:t>, 9179–9183.</w:t>
      </w:r>
    </w:p>
    <w:p w14:paraId="4F1B7F2C"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57</w:t>
      </w:r>
      <w:r w:rsidRPr="00EC5244">
        <w:rPr>
          <w:rFonts w:cs="Times"/>
          <w:noProof/>
          <w:szCs w:val="24"/>
        </w:rPr>
        <w:tab/>
        <w:t xml:space="preserve">D. Subramanian, C. T. Boughter, J. B. Klauda, B. Hammouda and M. a Anisimov, </w:t>
      </w:r>
      <w:r w:rsidRPr="00EC5244">
        <w:rPr>
          <w:rFonts w:cs="Times"/>
          <w:i/>
          <w:iCs/>
          <w:noProof/>
          <w:szCs w:val="24"/>
        </w:rPr>
        <w:t>Faraday Discuss.</w:t>
      </w:r>
      <w:r w:rsidRPr="00EC5244">
        <w:rPr>
          <w:rFonts w:cs="Times"/>
          <w:noProof/>
          <w:szCs w:val="24"/>
        </w:rPr>
        <w:t xml:space="preserve">, 2013, </w:t>
      </w:r>
      <w:r w:rsidRPr="00EC5244">
        <w:rPr>
          <w:rFonts w:cs="Times"/>
          <w:b/>
          <w:bCs/>
          <w:noProof/>
          <w:szCs w:val="24"/>
        </w:rPr>
        <w:t>167</w:t>
      </w:r>
      <w:r w:rsidRPr="00EC5244">
        <w:rPr>
          <w:rFonts w:cs="Times"/>
          <w:noProof/>
          <w:szCs w:val="24"/>
        </w:rPr>
        <w:t>, 217–238.</w:t>
      </w:r>
    </w:p>
    <w:p w14:paraId="6CEA907A"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58</w:t>
      </w:r>
      <w:r w:rsidRPr="00EC5244">
        <w:rPr>
          <w:rFonts w:cs="Times"/>
          <w:noProof/>
          <w:szCs w:val="24"/>
        </w:rPr>
        <w:tab/>
        <w:t xml:space="preserve">D. Subramanian, J. B. Klauda, P. J. Collings and M. A. Anisimov, </w:t>
      </w:r>
      <w:r w:rsidRPr="00EC5244">
        <w:rPr>
          <w:rFonts w:cs="Times"/>
          <w:i/>
          <w:iCs/>
          <w:noProof/>
          <w:szCs w:val="24"/>
        </w:rPr>
        <w:t>J. Phys. Chem. B</w:t>
      </w:r>
      <w:r w:rsidRPr="00EC5244">
        <w:rPr>
          <w:rFonts w:cs="Times"/>
          <w:noProof/>
          <w:szCs w:val="24"/>
        </w:rPr>
        <w:t xml:space="preserve">, 2014, </w:t>
      </w:r>
      <w:r w:rsidRPr="00EC5244">
        <w:rPr>
          <w:rFonts w:cs="Times"/>
          <w:b/>
          <w:bCs/>
          <w:noProof/>
          <w:szCs w:val="24"/>
        </w:rPr>
        <w:t>118</w:t>
      </w:r>
      <w:r w:rsidRPr="00EC5244">
        <w:rPr>
          <w:rFonts w:cs="Times"/>
          <w:noProof/>
          <w:szCs w:val="24"/>
        </w:rPr>
        <w:t>, 5994–6006.</w:t>
      </w:r>
    </w:p>
    <w:p w14:paraId="7DB57BD2"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59</w:t>
      </w:r>
      <w:r w:rsidRPr="00EC5244">
        <w:rPr>
          <w:rFonts w:cs="Times"/>
          <w:noProof/>
          <w:szCs w:val="24"/>
        </w:rPr>
        <w:tab/>
        <w:t xml:space="preserve">S. Schöttl and D. Horinek, </w:t>
      </w:r>
      <w:r w:rsidRPr="00EC5244">
        <w:rPr>
          <w:rFonts w:cs="Times"/>
          <w:i/>
          <w:iCs/>
          <w:noProof/>
          <w:szCs w:val="24"/>
        </w:rPr>
        <w:t>Curr. Opin. Colloid Interface Sci.</w:t>
      </w:r>
      <w:r w:rsidRPr="00EC5244">
        <w:rPr>
          <w:rFonts w:cs="Times"/>
          <w:noProof/>
          <w:szCs w:val="24"/>
        </w:rPr>
        <w:t xml:space="preserve">, 2016, </w:t>
      </w:r>
      <w:r w:rsidRPr="00EC5244">
        <w:rPr>
          <w:rFonts w:cs="Times"/>
          <w:b/>
          <w:bCs/>
          <w:noProof/>
          <w:szCs w:val="24"/>
        </w:rPr>
        <w:t>22</w:t>
      </w:r>
      <w:r w:rsidRPr="00EC5244">
        <w:rPr>
          <w:rFonts w:cs="Times"/>
          <w:noProof/>
          <w:szCs w:val="24"/>
        </w:rPr>
        <w:t>, 8–13.</w:t>
      </w:r>
    </w:p>
    <w:p w14:paraId="365C2FE2"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60</w:t>
      </w:r>
      <w:r w:rsidRPr="00EC5244">
        <w:rPr>
          <w:rFonts w:cs="Times"/>
          <w:noProof/>
          <w:szCs w:val="24"/>
        </w:rPr>
        <w:tab/>
        <w:t xml:space="preserve">S. Schöttl, J. Marcus, O. Diat, D. Touraud, W. Kunz, T. Zemb and D. Horinek, </w:t>
      </w:r>
      <w:r w:rsidRPr="00EC5244">
        <w:rPr>
          <w:rFonts w:cs="Times"/>
          <w:i/>
          <w:iCs/>
          <w:noProof/>
          <w:szCs w:val="24"/>
        </w:rPr>
        <w:t>Chem. Sci.</w:t>
      </w:r>
      <w:r w:rsidRPr="00EC5244">
        <w:rPr>
          <w:rFonts w:cs="Times"/>
          <w:noProof/>
          <w:szCs w:val="24"/>
        </w:rPr>
        <w:t xml:space="preserve">, 2014, </w:t>
      </w:r>
      <w:r w:rsidRPr="00EC5244">
        <w:rPr>
          <w:rFonts w:cs="Times"/>
          <w:b/>
          <w:bCs/>
          <w:noProof/>
          <w:szCs w:val="24"/>
        </w:rPr>
        <w:t>5</w:t>
      </w:r>
      <w:r w:rsidRPr="00EC5244">
        <w:rPr>
          <w:rFonts w:cs="Times"/>
          <w:noProof/>
          <w:szCs w:val="24"/>
        </w:rPr>
        <w:t>, 2909–3340.</w:t>
      </w:r>
    </w:p>
    <w:p w14:paraId="09A5D00A"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61</w:t>
      </w:r>
      <w:r w:rsidRPr="00EC5244">
        <w:rPr>
          <w:rFonts w:cs="Times"/>
          <w:noProof/>
          <w:szCs w:val="24"/>
        </w:rPr>
        <w:tab/>
        <w:t xml:space="preserve">O. Diat, M. L. Klossek, D. Touraud, B. Deme, I. Grillo, W. Kunz and T. Zemb, </w:t>
      </w:r>
      <w:r w:rsidRPr="00EC5244">
        <w:rPr>
          <w:rFonts w:cs="Times"/>
          <w:i/>
          <w:iCs/>
          <w:noProof/>
          <w:szCs w:val="24"/>
        </w:rPr>
        <w:t>J. Appl. Crystallogr.</w:t>
      </w:r>
      <w:r w:rsidRPr="00EC5244">
        <w:rPr>
          <w:rFonts w:cs="Times"/>
          <w:noProof/>
          <w:szCs w:val="24"/>
        </w:rPr>
        <w:t xml:space="preserve">, 2013, </w:t>
      </w:r>
      <w:r w:rsidRPr="00EC5244">
        <w:rPr>
          <w:rFonts w:cs="Times"/>
          <w:b/>
          <w:bCs/>
          <w:noProof/>
          <w:szCs w:val="24"/>
        </w:rPr>
        <w:t>46</w:t>
      </w:r>
      <w:r w:rsidRPr="00EC5244">
        <w:rPr>
          <w:rFonts w:cs="Times"/>
          <w:noProof/>
          <w:szCs w:val="24"/>
        </w:rPr>
        <w:t>, 1665–1669.</w:t>
      </w:r>
    </w:p>
    <w:p w14:paraId="392AC86E"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62</w:t>
      </w:r>
      <w:r w:rsidRPr="00EC5244">
        <w:rPr>
          <w:rFonts w:cs="Times"/>
          <w:noProof/>
          <w:szCs w:val="24"/>
        </w:rPr>
        <w:tab/>
        <w:t xml:space="preserve">S. Schöttl, D. Touraud, W. Kunz, T. Zemb and D. Horinek, </w:t>
      </w:r>
      <w:r w:rsidRPr="00EC5244">
        <w:rPr>
          <w:rFonts w:cs="Times"/>
          <w:i/>
          <w:iCs/>
          <w:noProof/>
          <w:szCs w:val="24"/>
        </w:rPr>
        <w:t>Colloids Surfaces A Physicochem. Eng. Asp.</w:t>
      </w:r>
      <w:r w:rsidRPr="00EC5244">
        <w:rPr>
          <w:rFonts w:cs="Times"/>
          <w:noProof/>
          <w:szCs w:val="24"/>
        </w:rPr>
        <w:t xml:space="preserve">, 2015, </w:t>
      </w:r>
      <w:r w:rsidRPr="00EC5244">
        <w:rPr>
          <w:rFonts w:cs="Times"/>
          <w:b/>
          <w:bCs/>
          <w:noProof/>
          <w:szCs w:val="24"/>
        </w:rPr>
        <w:t>480</w:t>
      </w:r>
      <w:r w:rsidRPr="00EC5244">
        <w:rPr>
          <w:rFonts w:cs="Times"/>
          <w:noProof/>
          <w:szCs w:val="24"/>
        </w:rPr>
        <w:t>, 222–227.</w:t>
      </w:r>
    </w:p>
    <w:p w14:paraId="3957F1AA"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63</w:t>
      </w:r>
      <w:r w:rsidRPr="00EC5244">
        <w:rPr>
          <w:rFonts w:cs="Times"/>
          <w:noProof/>
          <w:szCs w:val="24"/>
        </w:rPr>
        <w:tab/>
        <w:t xml:space="preserve">J. Marcus, D. Touraud, S. Prévost, O. Diat, T. Zemb and W. Kunz, </w:t>
      </w:r>
      <w:r w:rsidRPr="00EC5244">
        <w:rPr>
          <w:rFonts w:cs="Times"/>
          <w:i/>
          <w:iCs/>
          <w:noProof/>
          <w:szCs w:val="24"/>
        </w:rPr>
        <w:t>Phys. Chem. Chem. Phys.</w:t>
      </w:r>
      <w:r w:rsidRPr="00EC5244">
        <w:rPr>
          <w:rFonts w:cs="Times"/>
          <w:noProof/>
          <w:szCs w:val="24"/>
        </w:rPr>
        <w:t xml:space="preserve">, 2015, </w:t>
      </w:r>
      <w:r w:rsidRPr="00EC5244">
        <w:rPr>
          <w:rFonts w:cs="Times"/>
          <w:b/>
          <w:bCs/>
          <w:noProof/>
          <w:szCs w:val="24"/>
        </w:rPr>
        <w:t>17</w:t>
      </w:r>
      <w:r w:rsidRPr="00EC5244">
        <w:rPr>
          <w:rFonts w:cs="Times"/>
          <w:noProof/>
          <w:szCs w:val="24"/>
        </w:rPr>
        <w:t>, 32528–38.</w:t>
      </w:r>
    </w:p>
    <w:p w14:paraId="7DDEC818" w14:textId="77777777" w:rsidR="00BB4DD1" w:rsidRPr="00EC5244" w:rsidRDefault="00BB4DD1" w:rsidP="00BB4DD1">
      <w:pPr>
        <w:widowControl w:val="0"/>
        <w:autoSpaceDE w:val="0"/>
        <w:autoSpaceDN w:val="0"/>
        <w:adjustRightInd w:val="0"/>
        <w:spacing w:after="0" w:line="480" w:lineRule="auto"/>
        <w:ind w:left="640" w:hanging="640"/>
        <w:rPr>
          <w:rFonts w:cs="Times"/>
          <w:noProof/>
          <w:szCs w:val="24"/>
        </w:rPr>
      </w:pPr>
      <w:r w:rsidRPr="00EC5244">
        <w:rPr>
          <w:rFonts w:cs="Times"/>
          <w:noProof/>
          <w:szCs w:val="24"/>
        </w:rPr>
        <w:t>64</w:t>
      </w:r>
      <w:r w:rsidRPr="00EC5244">
        <w:rPr>
          <w:rFonts w:cs="Times"/>
          <w:noProof/>
          <w:szCs w:val="24"/>
        </w:rPr>
        <w:tab/>
        <w:t xml:space="preserve">T. N. Zemb, M. Klossek, T. Lopian, J. Marcus, S. Schöettl, D. Horinek, S. F. Prevost, D. Touraud, O. Diat, S. Marčelja and W. Kunz, </w:t>
      </w:r>
      <w:r w:rsidRPr="00EC5244">
        <w:rPr>
          <w:rFonts w:cs="Times"/>
          <w:i/>
          <w:iCs/>
          <w:noProof/>
          <w:szCs w:val="24"/>
        </w:rPr>
        <w:t>Proc. Natl. Acad. Sci.</w:t>
      </w:r>
      <w:r w:rsidRPr="00EC5244">
        <w:rPr>
          <w:rFonts w:cs="Times"/>
          <w:noProof/>
          <w:szCs w:val="24"/>
        </w:rPr>
        <w:t xml:space="preserve">, 2016, </w:t>
      </w:r>
      <w:r w:rsidRPr="00EC5244">
        <w:rPr>
          <w:rFonts w:cs="Times"/>
          <w:b/>
          <w:bCs/>
          <w:noProof/>
          <w:szCs w:val="24"/>
        </w:rPr>
        <w:t>113</w:t>
      </w:r>
      <w:r w:rsidRPr="00EC5244">
        <w:rPr>
          <w:rFonts w:cs="Times"/>
          <w:noProof/>
          <w:szCs w:val="24"/>
        </w:rPr>
        <w:t>, 4260–4265.</w:t>
      </w:r>
    </w:p>
    <w:p w14:paraId="66AF298B" w14:textId="77777777" w:rsidR="00BB4DD1" w:rsidRPr="00EC5244" w:rsidRDefault="00BB4DD1" w:rsidP="00BB4DD1">
      <w:pPr>
        <w:widowControl w:val="0"/>
        <w:autoSpaceDE w:val="0"/>
        <w:autoSpaceDN w:val="0"/>
        <w:adjustRightInd w:val="0"/>
        <w:spacing w:after="0" w:line="480" w:lineRule="auto"/>
        <w:ind w:left="640" w:hanging="640"/>
        <w:rPr>
          <w:rFonts w:cs="Times"/>
          <w:noProof/>
        </w:rPr>
      </w:pPr>
      <w:r w:rsidRPr="00EC5244">
        <w:rPr>
          <w:rFonts w:cs="Times"/>
          <w:noProof/>
          <w:szCs w:val="24"/>
        </w:rPr>
        <w:t>65</w:t>
      </w:r>
      <w:r w:rsidRPr="00EC5244">
        <w:rPr>
          <w:rFonts w:cs="Times"/>
          <w:noProof/>
          <w:szCs w:val="24"/>
        </w:rPr>
        <w:tab/>
        <w:t xml:space="preserve">T. Zemb and W. Kunz, </w:t>
      </w:r>
      <w:r w:rsidRPr="00EC5244">
        <w:rPr>
          <w:rFonts w:cs="Times"/>
          <w:i/>
          <w:iCs/>
          <w:noProof/>
          <w:szCs w:val="24"/>
        </w:rPr>
        <w:t>Curr. Opin. Colloid Interface Sci.</w:t>
      </w:r>
      <w:r w:rsidRPr="00EC5244">
        <w:rPr>
          <w:rFonts w:cs="Times"/>
          <w:noProof/>
          <w:szCs w:val="24"/>
        </w:rPr>
        <w:t xml:space="preserve">, 2016, </w:t>
      </w:r>
      <w:r w:rsidRPr="00EC5244">
        <w:rPr>
          <w:rFonts w:cs="Times"/>
          <w:b/>
          <w:bCs/>
          <w:noProof/>
          <w:szCs w:val="24"/>
        </w:rPr>
        <w:t>22</w:t>
      </w:r>
      <w:r w:rsidRPr="00EC5244">
        <w:rPr>
          <w:rFonts w:cs="Times"/>
          <w:noProof/>
          <w:szCs w:val="24"/>
        </w:rPr>
        <w:t>, 113–119.</w:t>
      </w:r>
    </w:p>
    <w:p w14:paraId="69F11A1C" w14:textId="134BA78F" w:rsidR="00CB22DD" w:rsidRPr="00EC5244" w:rsidRDefault="004722FE" w:rsidP="00CB22DD">
      <w:pPr>
        <w:spacing w:after="0" w:line="480" w:lineRule="auto"/>
        <w:ind w:firstLine="202"/>
        <w:rPr>
          <w:rFonts w:eastAsia="Yu Mincho"/>
          <w:lang w:val="en-CA"/>
        </w:rPr>
      </w:pPr>
      <w:r w:rsidRPr="00EC5244">
        <w:rPr>
          <w:rFonts w:eastAsia="Yu Mincho"/>
          <w:lang w:val="en-CA"/>
        </w:rPr>
        <w:fldChar w:fldCharType="end"/>
      </w:r>
    </w:p>
    <w:p w14:paraId="774C3E41" w14:textId="77777777" w:rsidR="006441DE" w:rsidRPr="00EC5244" w:rsidRDefault="006441DE" w:rsidP="00510078">
      <w:pPr>
        <w:shd w:val="clear" w:color="auto" w:fill="FFFFFF"/>
        <w:spacing w:after="0" w:line="480" w:lineRule="auto"/>
        <w:rPr>
          <w:rFonts w:ascii="Times New Roman" w:eastAsia="MS Mincho" w:hAnsi="Times New Roman"/>
          <w:b/>
          <w:szCs w:val="24"/>
          <w:lang w:val="en-CA"/>
        </w:rPr>
      </w:pPr>
    </w:p>
    <w:p w14:paraId="1C6725D9" w14:textId="4129963F" w:rsidR="006A6D15" w:rsidRPr="00EC5244" w:rsidRDefault="006A6D15">
      <w:pPr>
        <w:spacing w:after="0"/>
        <w:jc w:val="left"/>
        <w:rPr>
          <w:rFonts w:ascii="Times New Roman" w:eastAsia="MS Mincho" w:hAnsi="Times New Roman"/>
          <w:b/>
          <w:szCs w:val="24"/>
          <w:lang w:val="en-CA"/>
        </w:rPr>
      </w:pPr>
      <w:r w:rsidRPr="00EC5244">
        <w:rPr>
          <w:rFonts w:ascii="Times New Roman" w:eastAsia="MS Mincho" w:hAnsi="Times New Roman"/>
          <w:b/>
          <w:szCs w:val="24"/>
          <w:lang w:val="en-CA"/>
        </w:rPr>
        <w:br w:type="page"/>
      </w:r>
    </w:p>
    <w:p w14:paraId="7375C25B" w14:textId="65B39B49" w:rsidR="004A57EC" w:rsidRPr="00EC5244" w:rsidRDefault="006A6D15">
      <w:pPr>
        <w:spacing w:after="0"/>
        <w:jc w:val="left"/>
        <w:rPr>
          <w:rFonts w:ascii="Times New Roman" w:eastAsia="MS Mincho" w:hAnsi="Times New Roman"/>
          <w:b/>
          <w:szCs w:val="24"/>
          <w:lang w:val="en-CA"/>
        </w:rPr>
      </w:pPr>
      <w:r w:rsidRPr="00EC5244">
        <w:rPr>
          <w:rFonts w:ascii="Times New Roman" w:eastAsia="MS Mincho" w:hAnsi="Times New Roman"/>
          <w:b/>
          <w:szCs w:val="24"/>
          <w:lang w:val="en-CA"/>
        </w:rPr>
        <w:t>Graphical Abstract</w:t>
      </w:r>
    </w:p>
    <w:p w14:paraId="48593457" w14:textId="4DE77F62" w:rsidR="006A6D15" w:rsidRPr="00EC5244" w:rsidRDefault="006A6D15">
      <w:pPr>
        <w:spacing w:after="0"/>
        <w:jc w:val="left"/>
        <w:rPr>
          <w:rFonts w:ascii="Times New Roman" w:eastAsia="MS Mincho" w:hAnsi="Times New Roman"/>
          <w:b/>
          <w:szCs w:val="24"/>
          <w:lang w:val="en-CA"/>
        </w:rPr>
      </w:pPr>
    </w:p>
    <w:p w14:paraId="1E5C7205" w14:textId="261F69BF" w:rsidR="006A6D15" w:rsidRPr="00C035D6" w:rsidRDefault="006A6D15">
      <w:pPr>
        <w:spacing w:after="0"/>
        <w:jc w:val="left"/>
        <w:rPr>
          <w:rFonts w:ascii="Times New Roman" w:eastAsia="MS Mincho" w:hAnsi="Times New Roman"/>
          <w:b/>
          <w:szCs w:val="24"/>
          <w:lang w:val="en-CA"/>
        </w:rPr>
      </w:pPr>
      <w:r w:rsidRPr="00EC5244">
        <w:rPr>
          <w:rFonts w:ascii="Times New Roman" w:eastAsia="MS Mincho" w:hAnsi="Times New Roman"/>
          <w:b/>
          <w:noProof/>
          <w:szCs w:val="24"/>
          <w:lang w:val="en-GB" w:eastAsia="ja-JP"/>
        </w:rPr>
        <w:drawing>
          <wp:inline distT="0" distB="0" distL="0" distR="0" wp14:anchorId="1E287FF5" wp14:editId="0E8592BA">
            <wp:extent cx="1383792" cy="112536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abstract.png"/>
                    <pic:cNvPicPr/>
                  </pic:nvPicPr>
                  <pic:blipFill>
                    <a:blip r:embed="rId10"/>
                    <a:stretch>
                      <a:fillRect/>
                    </a:stretch>
                  </pic:blipFill>
                  <pic:spPr>
                    <a:xfrm>
                      <a:off x="0" y="0"/>
                      <a:ext cx="1399612" cy="1138232"/>
                    </a:xfrm>
                    <a:prstGeom prst="rect">
                      <a:avLst/>
                    </a:prstGeom>
                  </pic:spPr>
                </pic:pic>
              </a:graphicData>
            </a:graphic>
          </wp:inline>
        </w:drawing>
      </w:r>
      <w:bookmarkStart w:id="0" w:name="_GoBack"/>
      <w:bookmarkEnd w:id="0"/>
    </w:p>
    <w:sectPr w:rsidR="006A6D15" w:rsidRPr="00C035D6" w:rsidSect="00FD5AE7">
      <w:footerReference w:type="even" r:id="rId11"/>
      <w:footerReference w:type="default" r:id="rId12"/>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039A" w14:textId="77777777" w:rsidR="000C7FF6" w:rsidRDefault="000C7FF6">
      <w:r>
        <w:separator/>
      </w:r>
    </w:p>
  </w:endnote>
  <w:endnote w:type="continuationSeparator" w:id="0">
    <w:p w14:paraId="3A2EA705" w14:textId="77777777" w:rsidR="000C7FF6" w:rsidRDefault="000C7FF6">
      <w:r>
        <w:continuationSeparator/>
      </w:r>
    </w:p>
  </w:endnote>
  <w:endnote w:type="continuationNotice" w:id="1">
    <w:p w14:paraId="2C45B7E1" w14:textId="77777777" w:rsidR="000C7FF6" w:rsidRDefault="000C7F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jaVu Sans">
    <w:altName w:val="MS Mincho"/>
    <w:charset w:val="00"/>
    <w:family w:val="swiss"/>
    <w:pitch w:val="variable"/>
    <w:sig w:usb0="E7002EFF" w:usb1="D200FDFF" w:usb2="0A24602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BD6E" w14:textId="77777777" w:rsidR="00F6185C" w:rsidRDefault="00F61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0D477" w14:textId="77777777" w:rsidR="00F6185C" w:rsidRDefault="00F61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409C" w14:textId="393280F5" w:rsidR="00F6185C" w:rsidRDefault="00F61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FF6">
      <w:rPr>
        <w:rStyle w:val="PageNumber"/>
        <w:noProof/>
      </w:rPr>
      <w:t>1</w:t>
    </w:r>
    <w:r>
      <w:rPr>
        <w:rStyle w:val="PageNumber"/>
      </w:rPr>
      <w:fldChar w:fldCharType="end"/>
    </w:r>
  </w:p>
  <w:p w14:paraId="3C1C5B0B" w14:textId="77777777" w:rsidR="00F6185C" w:rsidRDefault="00F61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EE15" w14:textId="77777777" w:rsidR="000C7FF6" w:rsidRDefault="000C7FF6">
      <w:r>
        <w:separator/>
      </w:r>
    </w:p>
  </w:footnote>
  <w:footnote w:type="continuationSeparator" w:id="0">
    <w:p w14:paraId="12DF4C33" w14:textId="77777777" w:rsidR="000C7FF6" w:rsidRDefault="000C7FF6">
      <w:r>
        <w:continuationSeparator/>
      </w:r>
    </w:p>
  </w:footnote>
  <w:footnote w:type="continuationNotice" w:id="1">
    <w:p w14:paraId="587C4A30" w14:textId="77777777" w:rsidR="000C7FF6" w:rsidRDefault="000C7FF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70"/>
    <w:multiLevelType w:val="hybridMultilevel"/>
    <w:tmpl w:val="62ACC2BC"/>
    <w:lvl w:ilvl="0" w:tplc="32FAF8FC">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 w15:restartNumberingAfterBreak="0">
    <w:nsid w:val="149953C9"/>
    <w:multiLevelType w:val="hybridMultilevel"/>
    <w:tmpl w:val="40F697D6"/>
    <w:lvl w:ilvl="0" w:tplc="A5A65E6E">
      <w:start w:val="1"/>
      <w:numFmt w:val="lowerLetter"/>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 w15:restartNumberingAfterBreak="0">
    <w:nsid w:val="2E9700C0"/>
    <w:multiLevelType w:val="hybridMultilevel"/>
    <w:tmpl w:val="31D87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92A97"/>
    <w:multiLevelType w:val="hybridMultilevel"/>
    <w:tmpl w:val="0D7EE846"/>
    <w:lvl w:ilvl="0" w:tplc="D99A6564">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 w15:restartNumberingAfterBreak="0">
    <w:nsid w:val="3B056BB8"/>
    <w:multiLevelType w:val="hybridMultilevel"/>
    <w:tmpl w:val="BC604B3C"/>
    <w:lvl w:ilvl="0" w:tplc="FC748EFC">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5" w15:restartNumberingAfterBreak="0">
    <w:nsid w:val="4C5F0AA4"/>
    <w:multiLevelType w:val="hybridMultilevel"/>
    <w:tmpl w:val="1A488724"/>
    <w:lvl w:ilvl="0" w:tplc="4DC61594">
      <w:start w:val="5"/>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6" w15:restartNumberingAfterBreak="0">
    <w:nsid w:val="6802674E"/>
    <w:multiLevelType w:val="hybridMultilevel"/>
    <w:tmpl w:val="F15AA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3E"/>
    <w:rsid w:val="00000E7D"/>
    <w:rsid w:val="00001570"/>
    <w:rsid w:val="000044BE"/>
    <w:rsid w:val="00004EDF"/>
    <w:rsid w:val="0000502F"/>
    <w:rsid w:val="000061B9"/>
    <w:rsid w:val="00006A62"/>
    <w:rsid w:val="000103B3"/>
    <w:rsid w:val="00010727"/>
    <w:rsid w:val="00010C8E"/>
    <w:rsid w:val="00012D34"/>
    <w:rsid w:val="000137A7"/>
    <w:rsid w:val="00013B83"/>
    <w:rsid w:val="000141A9"/>
    <w:rsid w:val="000201D1"/>
    <w:rsid w:val="00020E4F"/>
    <w:rsid w:val="0002140D"/>
    <w:rsid w:val="0002269E"/>
    <w:rsid w:val="0002282D"/>
    <w:rsid w:val="0002426D"/>
    <w:rsid w:val="000261A3"/>
    <w:rsid w:val="00026915"/>
    <w:rsid w:val="00027843"/>
    <w:rsid w:val="00027CA1"/>
    <w:rsid w:val="00027E67"/>
    <w:rsid w:val="000329A1"/>
    <w:rsid w:val="00032AA6"/>
    <w:rsid w:val="00032B75"/>
    <w:rsid w:val="00037B47"/>
    <w:rsid w:val="000403F8"/>
    <w:rsid w:val="00040B44"/>
    <w:rsid w:val="00042CBA"/>
    <w:rsid w:val="00044C3E"/>
    <w:rsid w:val="00045549"/>
    <w:rsid w:val="000459A5"/>
    <w:rsid w:val="00045D23"/>
    <w:rsid w:val="00046BF1"/>
    <w:rsid w:val="00047620"/>
    <w:rsid w:val="000507C6"/>
    <w:rsid w:val="00051319"/>
    <w:rsid w:val="000516C7"/>
    <w:rsid w:val="00051ECF"/>
    <w:rsid w:val="00053600"/>
    <w:rsid w:val="000547B5"/>
    <w:rsid w:val="0005660F"/>
    <w:rsid w:val="00056CC5"/>
    <w:rsid w:val="000605D6"/>
    <w:rsid w:val="00062574"/>
    <w:rsid w:val="0006282B"/>
    <w:rsid w:val="00062E97"/>
    <w:rsid w:val="00065148"/>
    <w:rsid w:val="00065EE4"/>
    <w:rsid w:val="000664AE"/>
    <w:rsid w:val="0007002B"/>
    <w:rsid w:val="000705E7"/>
    <w:rsid w:val="00071B77"/>
    <w:rsid w:val="00072412"/>
    <w:rsid w:val="00072F9D"/>
    <w:rsid w:val="00073646"/>
    <w:rsid w:val="000756CC"/>
    <w:rsid w:val="000757EE"/>
    <w:rsid w:val="0007642D"/>
    <w:rsid w:val="00076A9F"/>
    <w:rsid w:val="00077668"/>
    <w:rsid w:val="00077C27"/>
    <w:rsid w:val="00077C44"/>
    <w:rsid w:val="00080927"/>
    <w:rsid w:val="00080940"/>
    <w:rsid w:val="00080C88"/>
    <w:rsid w:val="00081138"/>
    <w:rsid w:val="0008214E"/>
    <w:rsid w:val="000830D2"/>
    <w:rsid w:val="00083FE3"/>
    <w:rsid w:val="00084890"/>
    <w:rsid w:val="000851D6"/>
    <w:rsid w:val="00085B3F"/>
    <w:rsid w:val="00085F94"/>
    <w:rsid w:val="00087171"/>
    <w:rsid w:val="000875D4"/>
    <w:rsid w:val="000901C4"/>
    <w:rsid w:val="000907BC"/>
    <w:rsid w:val="0009132E"/>
    <w:rsid w:val="0009183D"/>
    <w:rsid w:val="00091F2D"/>
    <w:rsid w:val="000943D3"/>
    <w:rsid w:val="00094BD3"/>
    <w:rsid w:val="00095294"/>
    <w:rsid w:val="00096515"/>
    <w:rsid w:val="00097611"/>
    <w:rsid w:val="000A27B7"/>
    <w:rsid w:val="000A37D4"/>
    <w:rsid w:val="000A3DCA"/>
    <w:rsid w:val="000A405E"/>
    <w:rsid w:val="000A6D5D"/>
    <w:rsid w:val="000A77BE"/>
    <w:rsid w:val="000B0D0F"/>
    <w:rsid w:val="000B2960"/>
    <w:rsid w:val="000B36D8"/>
    <w:rsid w:val="000B45B0"/>
    <w:rsid w:val="000B4987"/>
    <w:rsid w:val="000B5610"/>
    <w:rsid w:val="000B6278"/>
    <w:rsid w:val="000B63BB"/>
    <w:rsid w:val="000C1328"/>
    <w:rsid w:val="000C13CB"/>
    <w:rsid w:val="000C228B"/>
    <w:rsid w:val="000C35CE"/>
    <w:rsid w:val="000C3939"/>
    <w:rsid w:val="000C3D16"/>
    <w:rsid w:val="000C5BAF"/>
    <w:rsid w:val="000C61EC"/>
    <w:rsid w:val="000C6390"/>
    <w:rsid w:val="000C6916"/>
    <w:rsid w:val="000C6FBF"/>
    <w:rsid w:val="000C74CA"/>
    <w:rsid w:val="000C7FF6"/>
    <w:rsid w:val="000D1E94"/>
    <w:rsid w:val="000D303A"/>
    <w:rsid w:val="000D358E"/>
    <w:rsid w:val="000D4991"/>
    <w:rsid w:val="000D6460"/>
    <w:rsid w:val="000E15EE"/>
    <w:rsid w:val="000E36FA"/>
    <w:rsid w:val="000E3DAB"/>
    <w:rsid w:val="000E4635"/>
    <w:rsid w:val="000E4A08"/>
    <w:rsid w:val="000E5237"/>
    <w:rsid w:val="000E6B31"/>
    <w:rsid w:val="000E784B"/>
    <w:rsid w:val="000E7BBE"/>
    <w:rsid w:val="000F19CA"/>
    <w:rsid w:val="000F2888"/>
    <w:rsid w:val="000F4585"/>
    <w:rsid w:val="000F4708"/>
    <w:rsid w:val="000F4E31"/>
    <w:rsid w:val="000F4FF3"/>
    <w:rsid w:val="000F5711"/>
    <w:rsid w:val="000F5E8F"/>
    <w:rsid w:val="000F5E9D"/>
    <w:rsid w:val="000F5FCD"/>
    <w:rsid w:val="000F6965"/>
    <w:rsid w:val="000F6B0B"/>
    <w:rsid w:val="00101D8A"/>
    <w:rsid w:val="00102556"/>
    <w:rsid w:val="00102DCF"/>
    <w:rsid w:val="00105025"/>
    <w:rsid w:val="00105A3A"/>
    <w:rsid w:val="00105E22"/>
    <w:rsid w:val="001062F7"/>
    <w:rsid w:val="00110F1E"/>
    <w:rsid w:val="001119BB"/>
    <w:rsid w:val="00112FD2"/>
    <w:rsid w:val="0011755A"/>
    <w:rsid w:val="0012235D"/>
    <w:rsid w:val="00122B0A"/>
    <w:rsid w:val="00123B9D"/>
    <w:rsid w:val="00127B7C"/>
    <w:rsid w:val="00130752"/>
    <w:rsid w:val="001335E9"/>
    <w:rsid w:val="0013471B"/>
    <w:rsid w:val="00135905"/>
    <w:rsid w:val="00136246"/>
    <w:rsid w:val="00136A5C"/>
    <w:rsid w:val="00140954"/>
    <w:rsid w:val="00144183"/>
    <w:rsid w:val="00144FCC"/>
    <w:rsid w:val="001459F1"/>
    <w:rsid w:val="00150FE0"/>
    <w:rsid w:val="00152E5C"/>
    <w:rsid w:val="00154612"/>
    <w:rsid w:val="00156DF4"/>
    <w:rsid w:val="001570E8"/>
    <w:rsid w:val="001606BB"/>
    <w:rsid w:val="00164C2C"/>
    <w:rsid w:val="00164DE1"/>
    <w:rsid w:val="00171757"/>
    <w:rsid w:val="001717CA"/>
    <w:rsid w:val="001731E9"/>
    <w:rsid w:val="0017327C"/>
    <w:rsid w:val="0017422A"/>
    <w:rsid w:val="00174C72"/>
    <w:rsid w:val="001758C6"/>
    <w:rsid w:val="00176970"/>
    <w:rsid w:val="00177D1E"/>
    <w:rsid w:val="00180B56"/>
    <w:rsid w:val="00180CCB"/>
    <w:rsid w:val="001835C6"/>
    <w:rsid w:val="00184A74"/>
    <w:rsid w:val="00186137"/>
    <w:rsid w:val="001862BE"/>
    <w:rsid w:val="001868A4"/>
    <w:rsid w:val="001878D0"/>
    <w:rsid w:val="00191D5D"/>
    <w:rsid w:val="00192C25"/>
    <w:rsid w:val="00195258"/>
    <w:rsid w:val="001967E6"/>
    <w:rsid w:val="0019745D"/>
    <w:rsid w:val="001A139F"/>
    <w:rsid w:val="001A34AB"/>
    <w:rsid w:val="001A3E1D"/>
    <w:rsid w:val="001A66F8"/>
    <w:rsid w:val="001A6CCF"/>
    <w:rsid w:val="001A7645"/>
    <w:rsid w:val="001B02A9"/>
    <w:rsid w:val="001B07D9"/>
    <w:rsid w:val="001B137E"/>
    <w:rsid w:val="001B4CC2"/>
    <w:rsid w:val="001B58D9"/>
    <w:rsid w:val="001C05C4"/>
    <w:rsid w:val="001C10AE"/>
    <w:rsid w:val="001C44D4"/>
    <w:rsid w:val="001C5065"/>
    <w:rsid w:val="001C6042"/>
    <w:rsid w:val="001C651E"/>
    <w:rsid w:val="001C6C39"/>
    <w:rsid w:val="001C7543"/>
    <w:rsid w:val="001D3484"/>
    <w:rsid w:val="001D4CC8"/>
    <w:rsid w:val="001D6DD5"/>
    <w:rsid w:val="001E11E1"/>
    <w:rsid w:val="001E1AA8"/>
    <w:rsid w:val="001E1F75"/>
    <w:rsid w:val="001E3322"/>
    <w:rsid w:val="001E3B01"/>
    <w:rsid w:val="001E745E"/>
    <w:rsid w:val="001F0C05"/>
    <w:rsid w:val="001F1CF3"/>
    <w:rsid w:val="001F25A1"/>
    <w:rsid w:val="001F2D22"/>
    <w:rsid w:val="001F497D"/>
    <w:rsid w:val="001F4D2E"/>
    <w:rsid w:val="001F53C6"/>
    <w:rsid w:val="00203E25"/>
    <w:rsid w:val="00203FCA"/>
    <w:rsid w:val="00204BB9"/>
    <w:rsid w:val="002059AC"/>
    <w:rsid w:val="0020761D"/>
    <w:rsid w:val="00211ED1"/>
    <w:rsid w:val="00214A4C"/>
    <w:rsid w:val="002162D6"/>
    <w:rsid w:val="00217C45"/>
    <w:rsid w:val="0022169A"/>
    <w:rsid w:val="00222BC6"/>
    <w:rsid w:val="00225398"/>
    <w:rsid w:val="00225C09"/>
    <w:rsid w:val="00227043"/>
    <w:rsid w:val="00227491"/>
    <w:rsid w:val="0023078E"/>
    <w:rsid w:val="00233278"/>
    <w:rsid w:val="002342C0"/>
    <w:rsid w:val="00234504"/>
    <w:rsid w:val="00236715"/>
    <w:rsid w:val="00237B57"/>
    <w:rsid w:val="002405B8"/>
    <w:rsid w:val="00241F1B"/>
    <w:rsid w:val="002427B0"/>
    <w:rsid w:val="00242A2D"/>
    <w:rsid w:val="0024425E"/>
    <w:rsid w:val="0024446E"/>
    <w:rsid w:val="002446ED"/>
    <w:rsid w:val="00247F5D"/>
    <w:rsid w:val="0025038D"/>
    <w:rsid w:val="00251C57"/>
    <w:rsid w:val="00253ACE"/>
    <w:rsid w:val="00254480"/>
    <w:rsid w:val="00254FCD"/>
    <w:rsid w:val="0025761A"/>
    <w:rsid w:val="00257700"/>
    <w:rsid w:val="00260BA2"/>
    <w:rsid w:val="0026170E"/>
    <w:rsid w:val="00262521"/>
    <w:rsid w:val="00263550"/>
    <w:rsid w:val="00264337"/>
    <w:rsid w:val="002659AB"/>
    <w:rsid w:val="002661DC"/>
    <w:rsid w:val="00270662"/>
    <w:rsid w:val="0027770E"/>
    <w:rsid w:val="00280C15"/>
    <w:rsid w:val="00280D76"/>
    <w:rsid w:val="00280EDB"/>
    <w:rsid w:val="00283FBB"/>
    <w:rsid w:val="0028690C"/>
    <w:rsid w:val="00287D2A"/>
    <w:rsid w:val="00287E35"/>
    <w:rsid w:val="002917B8"/>
    <w:rsid w:val="00294C1B"/>
    <w:rsid w:val="002A4A04"/>
    <w:rsid w:val="002A4A33"/>
    <w:rsid w:val="002A57A6"/>
    <w:rsid w:val="002A68DD"/>
    <w:rsid w:val="002A692F"/>
    <w:rsid w:val="002A737F"/>
    <w:rsid w:val="002B0015"/>
    <w:rsid w:val="002B288C"/>
    <w:rsid w:val="002B3488"/>
    <w:rsid w:val="002B3B0B"/>
    <w:rsid w:val="002B46CA"/>
    <w:rsid w:val="002B65D3"/>
    <w:rsid w:val="002B660D"/>
    <w:rsid w:val="002B66EA"/>
    <w:rsid w:val="002B694C"/>
    <w:rsid w:val="002B6B56"/>
    <w:rsid w:val="002B7E51"/>
    <w:rsid w:val="002B7ED4"/>
    <w:rsid w:val="002C0572"/>
    <w:rsid w:val="002C0CD6"/>
    <w:rsid w:val="002C1B36"/>
    <w:rsid w:val="002C3431"/>
    <w:rsid w:val="002C3CA8"/>
    <w:rsid w:val="002C5BBA"/>
    <w:rsid w:val="002C71D9"/>
    <w:rsid w:val="002D02D3"/>
    <w:rsid w:val="002D060A"/>
    <w:rsid w:val="002D24A3"/>
    <w:rsid w:val="002D2B1E"/>
    <w:rsid w:val="002D3121"/>
    <w:rsid w:val="002D3E3C"/>
    <w:rsid w:val="002D6E75"/>
    <w:rsid w:val="002D7218"/>
    <w:rsid w:val="002D72F5"/>
    <w:rsid w:val="002D78DC"/>
    <w:rsid w:val="002E023A"/>
    <w:rsid w:val="002E0B97"/>
    <w:rsid w:val="002E2C3D"/>
    <w:rsid w:val="002E32A2"/>
    <w:rsid w:val="002E5162"/>
    <w:rsid w:val="002E5960"/>
    <w:rsid w:val="002F183F"/>
    <w:rsid w:val="002F23C7"/>
    <w:rsid w:val="002F55FD"/>
    <w:rsid w:val="002F57FC"/>
    <w:rsid w:val="002F7F91"/>
    <w:rsid w:val="0030208C"/>
    <w:rsid w:val="00303452"/>
    <w:rsid w:val="003061B6"/>
    <w:rsid w:val="00306C3E"/>
    <w:rsid w:val="00310F94"/>
    <w:rsid w:val="00311835"/>
    <w:rsid w:val="00311853"/>
    <w:rsid w:val="00312335"/>
    <w:rsid w:val="003133E0"/>
    <w:rsid w:val="00314FB1"/>
    <w:rsid w:val="00316C3A"/>
    <w:rsid w:val="00321493"/>
    <w:rsid w:val="00321DB1"/>
    <w:rsid w:val="0032212F"/>
    <w:rsid w:val="003226B2"/>
    <w:rsid w:val="00322C62"/>
    <w:rsid w:val="00323160"/>
    <w:rsid w:val="00323571"/>
    <w:rsid w:val="00323BA1"/>
    <w:rsid w:val="00324254"/>
    <w:rsid w:val="00324679"/>
    <w:rsid w:val="00327465"/>
    <w:rsid w:val="00327C48"/>
    <w:rsid w:val="00331BEF"/>
    <w:rsid w:val="00332585"/>
    <w:rsid w:val="0033443D"/>
    <w:rsid w:val="00336368"/>
    <w:rsid w:val="003364EE"/>
    <w:rsid w:val="00340308"/>
    <w:rsid w:val="003411CA"/>
    <w:rsid w:val="00345213"/>
    <w:rsid w:val="003473A3"/>
    <w:rsid w:val="00350182"/>
    <w:rsid w:val="0035121D"/>
    <w:rsid w:val="003519FA"/>
    <w:rsid w:val="00352589"/>
    <w:rsid w:val="003533ED"/>
    <w:rsid w:val="00354FDC"/>
    <w:rsid w:val="00355F8C"/>
    <w:rsid w:val="00357723"/>
    <w:rsid w:val="0036021D"/>
    <w:rsid w:val="00360D11"/>
    <w:rsid w:val="003624CA"/>
    <w:rsid w:val="00363312"/>
    <w:rsid w:val="00365B70"/>
    <w:rsid w:val="00365DFC"/>
    <w:rsid w:val="003664E9"/>
    <w:rsid w:val="003670B6"/>
    <w:rsid w:val="003673FB"/>
    <w:rsid w:val="003679A1"/>
    <w:rsid w:val="0037267E"/>
    <w:rsid w:val="00374062"/>
    <w:rsid w:val="003752E0"/>
    <w:rsid w:val="00376CE7"/>
    <w:rsid w:val="003808DC"/>
    <w:rsid w:val="00380D98"/>
    <w:rsid w:val="00381C25"/>
    <w:rsid w:val="003875A6"/>
    <w:rsid w:val="003877F9"/>
    <w:rsid w:val="003906D3"/>
    <w:rsid w:val="0039109D"/>
    <w:rsid w:val="0039159E"/>
    <w:rsid w:val="00392C49"/>
    <w:rsid w:val="00392DEC"/>
    <w:rsid w:val="00392F53"/>
    <w:rsid w:val="003942C4"/>
    <w:rsid w:val="00395B74"/>
    <w:rsid w:val="00396236"/>
    <w:rsid w:val="00397116"/>
    <w:rsid w:val="003972F7"/>
    <w:rsid w:val="003A0815"/>
    <w:rsid w:val="003A0B27"/>
    <w:rsid w:val="003A16C8"/>
    <w:rsid w:val="003A2163"/>
    <w:rsid w:val="003A273E"/>
    <w:rsid w:val="003A35B5"/>
    <w:rsid w:val="003A5313"/>
    <w:rsid w:val="003A5456"/>
    <w:rsid w:val="003B4495"/>
    <w:rsid w:val="003B4AF3"/>
    <w:rsid w:val="003B62E9"/>
    <w:rsid w:val="003B7741"/>
    <w:rsid w:val="003C1E03"/>
    <w:rsid w:val="003C2421"/>
    <w:rsid w:val="003C280E"/>
    <w:rsid w:val="003C7E0C"/>
    <w:rsid w:val="003D2F63"/>
    <w:rsid w:val="003D3A21"/>
    <w:rsid w:val="003D48EE"/>
    <w:rsid w:val="003D4B2D"/>
    <w:rsid w:val="003D57DA"/>
    <w:rsid w:val="003D5935"/>
    <w:rsid w:val="003D710A"/>
    <w:rsid w:val="003D7171"/>
    <w:rsid w:val="003E0CDC"/>
    <w:rsid w:val="003E0EA5"/>
    <w:rsid w:val="003E239C"/>
    <w:rsid w:val="003E39C5"/>
    <w:rsid w:val="003E4CB7"/>
    <w:rsid w:val="003F16D5"/>
    <w:rsid w:val="003F2606"/>
    <w:rsid w:val="003F38B4"/>
    <w:rsid w:val="003F4562"/>
    <w:rsid w:val="003F65BF"/>
    <w:rsid w:val="003F7247"/>
    <w:rsid w:val="003F7B04"/>
    <w:rsid w:val="0040035E"/>
    <w:rsid w:val="00400A6B"/>
    <w:rsid w:val="0040373E"/>
    <w:rsid w:val="00407833"/>
    <w:rsid w:val="00407A55"/>
    <w:rsid w:val="004129F0"/>
    <w:rsid w:val="00413CBD"/>
    <w:rsid w:val="00414756"/>
    <w:rsid w:val="00415244"/>
    <w:rsid w:val="00417BF6"/>
    <w:rsid w:val="004210CF"/>
    <w:rsid w:val="004224DF"/>
    <w:rsid w:val="00422A77"/>
    <w:rsid w:val="00423F5A"/>
    <w:rsid w:val="004274F7"/>
    <w:rsid w:val="00430501"/>
    <w:rsid w:val="00431DFD"/>
    <w:rsid w:val="00433BDB"/>
    <w:rsid w:val="004355C7"/>
    <w:rsid w:val="00436D9A"/>
    <w:rsid w:val="0043763C"/>
    <w:rsid w:val="00437921"/>
    <w:rsid w:val="004406AF"/>
    <w:rsid w:val="00440826"/>
    <w:rsid w:val="0044259A"/>
    <w:rsid w:val="00443682"/>
    <w:rsid w:val="0044392E"/>
    <w:rsid w:val="00443DB8"/>
    <w:rsid w:val="004449B9"/>
    <w:rsid w:val="00444FD8"/>
    <w:rsid w:val="00452936"/>
    <w:rsid w:val="004532E2"/>
    <w:rsid w:val="00454871"/>
    <w:rsid w:val="00455815"/>
    <w:rsid w:val="00455DC3"/>
    <w:rsid w:val="00455EF3"/>
    <w:rsid w:val="00457B2F"/>
    <w:rsid w:val="004604EE"/>
    <w:rsid w:val="00462D00"/>
    <w:rsid w:val="00466DC0"/>
    <w:rsid w:val="004701DA"/>
    <w:rsid w:val="00471769"/>
    <w:rsid w:val="00471E93"/>
    <w:rsid w:val="004722FE"/>
    <w:rsid w:val="004743D1"/>
    <w:rsid w:val="00480BA2"/>
    <w:rsid w:val="00481F52"/>
    <w:rsid w:val="004820EA"/>
    <w:rsid w:val="00491354"/>
    <w:rsid w:val="004918F2"/>
    <w:rsid w:val="00492BF8"/>
    <w:rsid w:val="004A0219"/>
    <w:rsid w:val="004A0B0F"/>
    <w:rsid w:val="004A10A5"/>
    <w:rsid w:val="004A2B53"/>
    <w:rsid w:val="004A57EC"/>
    <w:rsid w:val="004A728B"/>
    <w:rsid w:val="004A79D2"/>
    <w:rsid w:val="004B47F7"/>
    <w:rsid w:val="004B6F1A"/>
    <w:rsid w:val="004B72B4"/>
    <w:rsid w:val="004C1BDB"/>
    <w:rsid w:val="004C5630"/>
    <w:rsid w:val="004D0777"/>
    <w:rsid w:val="004D0809"/>
    <w:rsid w:val="004D1EB5"/>
    <w:rsid w:val="004D1EC8"/>
    <w:rsid w:val="004D4B3C"/>
    <w:rsid w:val="004D5FA2"/>
    <w:rsid w:val="004E1AC3"/>
    <w:rsid w:val="004E4EC4"/>
    <w:rsid w:val="004E5393"/>
    <w:rsid w:val="004E54F0"/>
    <w:rsid w:val="004E5F4F"/>
    <w:rsid w:val="004E62B9"/>
    <w:rsid w:val="004E7236"/>
    <w:rsid w:val="004E7309"/>
    <w:rsid w:val="004F0C6E"/>
    <w:rsid w:val="004F135D"/>
    <w:rsid w:val="004F2E5A"/>
    <w:rsid w:val="004F41EF"/>
    <w:rsid w:val="004F66FA"/>
    <w:rsid w:val="004F6CE3"/>
    <w:rsid w:val="004F6DC6"/>
    <w:rsid w:val="004F7E65"/>
    <w:rsid w:val="00501AD5"/>
    <w:rsid w:val="00502E8F"/>
    <w:rsid w:val="005039BA"/>
    <w:rsid w:val="00504C77"/>
    <w:rsid w:val="00504E88"/>
    <w:rsid w:val="00506413"/>
    <w:rsid w:val="005068D6"/>
    <w:rsid w:val="00510078"/>
    <w:rsid w:val="00510D4B"/>
    <w:rsid w:val="00512DF2"/>
    <w:rsid w:val="005132EE"/>
    <w:rsid w:val="00513D6B"/>
    <w:rsid w:val="005204F6"/>
    <w:rsid w:val="00523173"/>
    <w:rsid w:val="00523A61"/>
    <w:rsid w:val="0052548A"/>
    <w:rsid w:val="00526C5A"/>
    <w:rsid w:val="0053425B"/>
    <w:rsid w:val="005347D4"/>
    <w:rsid w:val="00544AF9"/>
    <w:rsid w:val="00544DCD"/>
    <w:rsid w:val="00545E49"/>
    <w:rsid w:val="005471DB"/>
    <w:rsid w:val="0055012B"/>
    <w:rsid w:val="00550394"/>
    <w:rsid w:val="00550559"/>
    <w:rsid w:val="005513BA"/>
    <w:rsid w:val="00551DF0"/>
    <w:rsid w:val="00551EEC"/>
    <w:rsid w:val="00554846"/>
    <w:rsid w:val="00554D7D"/>
    <w:rsid w:val="005570AF"/>
    <w:rsid w:val="005607AF"/>
    <w:rsid w:val="005619FE"/>
    <w:rsid w:val="005621C8"/>
    <w:rsid w:val="005622B9"/>
    <w:rsid w:val="005627E8"/>
    <w:rsid w:val="00562D71"/>
    <w:rsid w:val="00562DBD"/>
    <w:rsid w:val="00563C1A"/>
    <w:rsid w:val="005646FB"/>
    <w:rsid w:val="0056725B"/>
    <w:rsid w:val="005729E7"/>
    <w:rsid w:val="00572E0F"/>
    <w:rsid w:val="00575550"/>
    <w:rsid w:val="00575C71"/>
    <w:rsid w:val="0057665B"/>
    <w:rsid w:val="00577A92"/>
    <w:rsid w:val="0058038B"/>
    <w:rsid w:val="00580507"/>
    <w:rsid w:val="0058158A"/>
    <w:rsid w:val="0058215E"/>
    <w:rsid w:val="00582224"/>
    <w:rsid w:val="005840E7"/>
    <w:rsid w:val="005842BF"/>
    <w:rsid w:val="00587600"/>
    <w:rsid w:val="00587D8A"/>
    <w:rsid w:val="00591A57"/>
    <w:rsid w:val="005934EA"/>
    <w:rsid w:val="00594447"/>
    <w:rsid w:val="005947C4"/>
    <w:rsid w:val="00594D4A"/>
    <w:rsid w:val="00594FCE"/>
    <w:rsid w:val="00595E0F"/>
    <w:rsid w:val="0059652E"/>
    <w:rsid w:val="00596B55"/>
    <w:rsid w:val="005972C0"/>
    <w:rsid w:val="005A03D5"/>
    <w:rsid w:val="005A05E3"/>
    <w:rsid w:val="005A14A3"/>
    <w:rsid w:val="005A1EF0"/>
    <w:rsid w:val="005A2C89"/>
    <w:rsid w:val="005A3E72"/>
    <w:rsid w:val="005A5975"/>
    <w:rsid w:val="005A6AA8"/>
    <w:rsid w:val="005A7FF6"/>
    <w:rsid w:val="005B0131"/>
    <w:rsid w:val="005B0292"/>
    <w:rsid w:val="005B040C"/>
    <w:rsid w:val="005B061F"/>
    <w:rsid w:val="005B09F1"/>
    <w:rsid w:val="005B26AB"/>
    <w:rsid w:val="005B2BFC"/>
    <w:rsid w:val="005B3E1A"/>
    <w:rsid w:val="005B453F"/>
    <w:rsid w:val="005B760B"/>
    <w:rsid w:val="005C28C1"/>
    <w:rsid w:val="005C2B10"/>
    <w:rsid w:val="005C4BD1"/>
    <w:rsid w:val="005C55AF"/>
    <w:rsid w:val="005C624F"/>
    <w:rsid w:val="005D0C10"/>
    <w:rsid w:val="005D0D2F"/>
    <w:rsid w:val="005D0F9B"/>
    <w:rsid w:val="005D5C7B"/>
    <w:rsid w:val="005D6275"/>
    <w:rsid w:val="005D7A0D"/>
    <w:rsid w:val="005E2C44"/>
    <w:rsid w:val="005E2D2E"/>
    <w:rsid w:val="005E579B"/>
    <w:rsid w:val="005F0914"/>
    <w:rsid w:val="005F293C"/>
    <w:rsid w:val="005F4903"/>
    <w:rsid w:val="005F51FD"/>
    <w:rsid w:val="005F528C"/>
    <w:rsid w:val="005F529B"/>
    <w:rsid w:val="005F5A78"/>
    <w:rsid w:val="005F77DB"/>
    <w:rsid w:val="006002DB"/>
    <w:rsid w:val="00601520"/>
    <w:rsid w:val="00601FA4"/>
    <w:rsid w:val="00602489"/>
    <w:rsid w:val="00602DDD"/>
    <w:rsid w:val="0060394D"/>
    <w:rsid w:val="00603FD1"/>
    <w:rsid w:val="006040A6"/>
    <w:rsid w:val="00604D46"/>
    <w:rsid w:val="0060681D"/>
    <w:rsid w:val="00606EFB"/>
    <w:rsid w:val="00610388"/>
    <w:rsid w:val="00610835"/>
    <w:rsid w:val="00612922"/>
    <w:rsid w:val="00615540"/>
    <w:rsid w:val="00615B5C"/>
    <w:rsid w:val="00616D8E"/>
    <w:rsid w:val="00622F46"/>
    <w:rsid w:val="0062448B"/>
    <w:rsid w:val="00624B5A"/>
    <w:rsid w:val="00625CC0"/>
    <w:rsid w:val="006260D2"/>
    <w:rsid w:val="00626344"/>
    <w:rsid w:val="00630B02"/>
    <w:rsid w:val="00633EE1"/>
    <w:rsid w:val="00636090"/>
    <w:rsid w:val="0064194A"/>
    <w:rsid w:val="006426E5"/>
    <w:rsid w:val="006441DE"/>
    <w:rsid w:val="00644417"/>
    <w:rsid w:val="00647B3D"/>
    <w:rsid w:val="00647F7E"/>
    <w:rsid w:val="00650526"/>
    <w:rsid w:val="00651C8D"/>
    <w:rsid w:val="00652592"/>
    <w:rsid w:val="00652D3B"/>
    <w:rsid w:val="00653AC7"/>
    <w:rsid w:val="00653FC6"/>
    <w:rsid w:val="00655D8B"/>
    <w:rsid w:val="00656FD1"/>
    <w:rsid w:val="00657159"/>
    <w:rsid w:val="00657636"/>
    <w:rsid w:val="00657B43"/>
    <w:rsid w:val="00661FC8"/>
    <w:rsid w:val="00662EF2"/>
    <w:rsid w:val="00663570"/>
    <w:rsid w:val="00664841"/>
    <w:rsid w:val="00664D36"/>
    <w:rsid w:val="00664F92"/>
    <w:rsid w:val="00666C04"/>
    <w:rsid w:val="00672B67"/>
    <w:rsid w:val="0067348C"/>
    <w:rsid w:val="00673B49"/>
    <w:rsid w:val="00674041"/>
    <w:rsid w:val="006743F8"/>
    <w:rsid w:val="00675CF7"/>
    <w:rsid w:val="00676EED"/>
    <w:rsid w:val="00682090"/>
    <w:rsid w:val="006839F8"/>
    <w:rsid w:val="00683C0D"/>
    <w:rsid w:val="00683E7B"/>
    <w:rsid w:val="006840BE"/>
    <w:rsid w:val="006855FA"/>
    <w:rsid w:val="0068627C"/>
    <w:rsid w:val="006878C3"/>
    <w:rsid w:val="00687917"/>
    <w:rsid w:val="00692016"/>
    <w:rsid w:val="0069279F"/>
    <w:rsid w:val="00692A2A"/>
    <w:rsid w:val="00694A0C"/>
    <w:rsid w:val="006954D7"/>
    <w:rsid w:val="00696254"/>
    <w:rsid w:val="00696329"/>
    <w:rsid w:val="006A228C"/>
    <w:rsid w:val="006A2BEA"/>
    <w:rsid w:val="006A2CE9"/>
    <w:rsid w:val="006A6D15"/>
    <w:rsid w:val="006B0325"/>
    <w:rsid w:val="006B07F6"/>
    <w:rsid w:val="006B2581"/>
    <w:rsid w:val="006B3C29"/>
    <w:rsid w:val="006B6648"/>
    <w:rsid w:val="006B6866"/>
    <w:rsid w:val="006B6D0B"/>
    <w:rsid w:val="006B7E96"/>
    <w:rsid w:val="006C0DA8"/>
    <w:rsid w:val="006C1753"/>
    <w:rsid w:val="006C30C6"/>
    <w:rsid w:val="006C5198"/>
    <w:rsid w:val="006C558F"/>
    <w:rsid w:val="006C630B"/>
    <w:rsid w:val="006C64FC"/>
    <w:rsid w:val="006C675F"/>
    <w:rsid w:val="006D125D"/>
    <w:rsid w:val="006D14FF"/>
    <w:rsid w:val="006D32E0"/>
    <w:rsid w:val="006D34F6"/>
    <w:rsid w:val="006D3676"/>
    <w:rsid w:val="006D3CF7"/>
    <w:rsid w:val="006D62D6"/>
    <w:rsid w:val="006E630B"/>
    <w:rsid w:val="006E76F9"/>
    <w:rsid w:val="006F034A"/>
    <w:rsid w:val="006F0466"/>
    <w:rsid w:val="006F1233"/>
    <w:rsid w:val="006F2C2F"/>
    <w:rsid w:val="006F2E61"/>
    <w:rsid w:val="006F3FFF"/>
    <w:rsid w:val="006F494F"/>
    <w:rsid w:val="006F4E0B"/>
    <w:rsid w:val="006F4EBA"/>
    <w:rsid w:val="006F588C"/>
    <w:rsid w:val="0070035A"/>
    <w:rsid w:val="0070042D"/>
    <w:rsid w:val="00703410"/>
    <w:rsid w:val="00706B5B"/>
    <w:rsid w:val="0070702B"/>
    <w:rsid w:val="00713431"/>
    <w:rsid w:val="00713B03"/>
    <w:rsid w:val="007156B4"/>
    <w:rsid w:val="00715F5D"/>
    <w:rsid w:val="00717293"/>
    <w:rsid w:val="007200D6"/>
    <w:rsid w:val="007221D2"/>
    <w:rsid w:val="0072285C"/>
    <w:rsid w:val="00723FB0"/>
    <w:rsid w:val="0072578E"/>
    <w:rsid w:val="00726166"/>
    <w:rsid w:val="00730C96"/>
    <w:rsid w:val="00730F1C"/>
    <w:rsid w:val="00732087"/>
    <w:rsid w:val="00734B92"/>
    <w:rsid w:val="007362F6"/>
    <w:rsid w:val="00737AB1"/>
    <w:rsid w:val="00737DBE"/>
    <w:rsid w:val="00740D11"/>
    <w:rsid w:val="00741463"/>
    <w:rsid w:val="00742699"/>
    <w:rsid w:val="00742D5C"/>
    <w:rsid w:val="00745822"/>
    <w:rsid w:val="00745853"/>
    <w:rsid w:val="007464EA"/>
    <w:rsid w:val="00751949"/>
    <w:rsid w:val="00754ED3"/>
    <w:rsid w:val="00757509"/>
    <w:rsid w:val="00757D29"/>
    <w:rsid w:val="007604D6"/>
    <w:rsid w:val="00761758"/>
    <w:rsid w:val="007629D3"/>
    <w:rsid w:val="00763725"/>
    <w:rsid w:val="007640FE"/>
    <w:rsid w:val="007649E3"/>
    <w:rsid w:val="00764C2F"/>
    <w:rsid w:val="00765997"/>
    <w:rsid w:val="007660E1"/>
    <w:rsid w:val="007665A1"/>
    <w:rsid w:val="007670CC"/>
    <w:rsid w:val="00767366"/>
    <w:rsid w:val="00772325"/>
    <w:rsid w:val="00773327"/>
    <w:rsid w:val="00776FFF"/>
    <w:rsid w:val="00782280"/>
    <w:rsid w:val="00782773"/>
    <w:rsid w:val="007829E6"/>
    <w:rsid w:val="007849AA"/>
    <w:rsid w:val="0078568F"/>
    <w:rsid w:val="00790A58"/>
    <w:rsid w:val="00791225"/>
    <w:rsid w:val="00792C87"/>
    <w:rsid w:val="00793D86"/>
    <w:rsid w:val="0079440B"/>
    <w:rsid w:val="00794D87"/>
    <w:rsid w:val="007954CA"/>
    <w:rsid w:val="00795D13"/>
    <w:rsid w:val="0079621B"/>
    <w:rsid w:val="007A0CA9"/>
    <w:rsid w:val="007A1A39"/>
    <w:rsid w:val="007A2941"/>
    <w:rsid w:val="007A565D"/>
    <w:rsid w:val="007B14F1"/>
    <w:rsid w:val="007B21F1"/>
    <w:rsid w:val="007B2CD2"/>
    <w:rsid w:val="007B320A"/>
    <w:rsid w:val="007B3EA9"/>
    <w:rsid w:val="007B3F71"/>
    <w:rsid w:val="007B564C"/>
    <w:rsid w:val="007B76AB"/>
    <w:rsid w:val="007B77E1"/>
    <w:rsid w:val="007C079D"/>
    <w:rsid w:val="007C1400"/>
    <w:rsid w:val="007C273B"/>
    <w:rsid w:val="007C54FA"/>
    <w:rsid w:val="007C5E84"/>
    <w:rsid w:val="007D0E6F"/>
    <w:rsid w:val="007D20D0"/>
    <w:rsid w:val="007D3791"/>
    <w:rsid w:val="007D6AE6"/>
    <w:rsid w:val="007D7BE1"/>
    <w:rsid w:val="007E036E"/>
    <w:rsid w:val="007E0A52"/>
    <w:rsid w:val="007E1D78"/>
    <w:rsid w:val="007E3E0A"/>
    <w:rsid w:val="007E3F45"/>
    <w:rsid w:val="007E5FCA"/>
    <w:rsid w:val="007F2EB2"/>
    <w:rsid w:val="007F37BF"/>
    <w:rsid w:val="007F3D97"/>
    <w:rsid w:val="007F4BD4"/>
    <w:rsid w:val="007F60BD"/>
    <w:rsid w:val="007F67E8"/>
    <w:rsid w:val="007F6DF2"/>
    <w:rsid w:val="00801512"/>
    <w:rsid w:val="00801D10"/>
    <w:rsid w:val="008022FE"/>
    <w:rsid w:val="008034CE"/>
    <w:rsid w:val="008038A4"/>
    <w:rsid w:val="00803E81"/>
    <w:rsid w:val="00804353"/>
    <w:rsid w:val="00804D97"/>
    <w:rsid w:val="0080591E"/>
    <w:rsid w:val="008059D9"/>
    <w:rsid w:val="00806B0A"/>
    <w:rsid w:val="00810A18"/>
    <w:rsid w:val="00811218"/>
    <w:rsid w:val="008119B9"/>
    <w:rsid w:val="00814C17"/>
    <w:rsid w:val="0081678B"/>
    <w:rsid w:val="008170DC"/>
    <w:rsid w:val="00817DD9"/>
    <w:rsid w:val="0082344B"/>
    <w:rsid w:val="00823B29"/>
    <w:rsid w:val="008267B4"/>
    <w:rsid w:val="00826CCF"/>
    <w:rsid w:val="00826F85"/>
    <w:rsid w:val="00827696"/>
    <w:rsid w:val="00827EE9"/>
    <w:rsid w:val="008309F3"/>
    <w:rsid w:val="00830C36"/>
    <w:rsid w:val="008327FB"/>
    <w:rsid w:val="0083435B"/>
    <w:rsid w:val="00834B77"/>
    <w:rsid w:val="008365D7"/>
    <w:rsid w:val="00836A97"/>
    <w:rsid w:val="008376D7"/>
    <w:rsid w:val="00837CEF"/>
    <w:rsid w:val="00840803"/>
    <w:rsid w:val="008425B7"/>
    <w:rsid w:val="0084277E"/>
    <w:rsid w:val="00842818"/>
    <w:rsid w:val="0084493F"/>
    <w:rsid w:val="008456AC"/>
    <w:rsid w:val="00851C74"/>
    <w:rsid w:val="00852D24"/>
    <w:rsid w:val="00854069"/>
    <w:rsid w:val="008552A3"/>
    <w:rsid w:val="0085745C"/>
    <w:rsid w:val="00857D19"/>
    <w:rsid w:val="00861CC2"/>
    <w:rsid w:val="00865534"/>
    <w:rsid w:val="008655C0"/>
    <w:rsid w:val="0086699B"/>
    <w:rsid w:val="00867515"/>
    <w:rsid w:val="008708CF"/>
    <w:rsid w:val="008715D8"/>
    <w:rsid w:val="00871B74"/>
    <w:rsid w:val="0087227C"/>
    <w:rsid w:val="00872DC9"/>
    <w:rsid w:val="0087300E"/>
    <w:rsid w:val="00874EBE"/>
    <w:rsid w:val="00875CBF"/>
    <w:rsid w:val="0087630D"/>
    <w:rsid w:val="00876547"/>
    <w:rsid w:val="00876CE3"/>
    <w:rsid w:val="0088029A"/>
    <w:rsid w:val="008814FC"/>
    <w:rsid w:val="00882667"/>
    <w:rsid w:val="00882D7C"/>
    <w:rsid w:val="008843C7"/>
    <w:rsid w:val="00884DAE"/>
    <w:rsid w:val="00885D34"/>
    <w:rsid w:val="00886310"/>
    <w:rsid w:val="008879A6"/>
    <w:rsid w:val="008905D4"/>
    <w:rsid w:val="008905E1"/>
    <w:rsid w:val="008911B1"/>
    <w:rsid w:val="00891313"/>
    <w:rsid w:val="008913D1"/>
    <w:rsid w:val="00894DD6"/>
    <w:rsid w:val="00895B60"/>
    <w:rsid w:val="0089627F"/>
    <w:rsid w:val="008965CF"/>
    <w:rsid w:val="00897126"/>
    <w:rsid w:val="00897838"/>
    <w:rsid w:val="00897850"/>
    <w:rsid w:val="008A07AF"/>
    <w:rsid w:val="008A0E92"/>
    <w:rsid w:val="008A1E95"/>
    <w:rsid w:val="008A29A4"/>
    <w:rsid w:val="008A2D70"/>
    <w:rsid w:val="008A37CB"/>
    <w:rsid w:val="008A3FA6"/>
    <w:rsid w:val="008A437B"/>
    <w:rsid w:val="008A5FFF"/>
    <w:rsid w:val="008A67CD"/>
    <w:rsid w:val="008A6B8E"/>
    <w:rsid w:val="008A7189"/>
    <w:rsid w:val="008B1429"/>
    <w:rsid w:val="008B32FB"/>
    <w:rsid w:val="008B5250"/>
    <w:rsid w:val="008B7B5E"/>
    <w:rsid w:val="008C0386"/>
    <w:rsid w:val="008C0481"/>
    <w:rsid w:val="008C1FB9"/>
    <w:rsid w:val="008C2292"/>
    <w:rsid w:val="008C22D5"/>
    <w:rsid w:val="008C47FA"/>
    <w:rsid w:val="008C66BD"/>
    <w:rsid w:val="008C745B"/>
    <w:rsid w:val="008D0796"/>
    <w:rsid w:val="008D11A8"/>
    <w:rsid w:val="008D130E"/>
    <w:rsid w:val="008D154B"/>
    <w:rsid w:val="008D1808"/>
    <w:rsid w:val="008D1AF8"/>
    <w:rsid w:val="008D1FC8"/>
    <w:rsid w:val="008D2D3B"/>
    <w:rsid w:val="008D2F44"/>
    <w:rsid w:val="008D4380"/>
    <w:rsid w:val="008D54D1"/>
    <w:rsid w:val="008D588E"/>
    <w:rsid w:val="008D5D70"/>
    <w:rsid w:val="008D6060"/>
    <w:rsid w:val="008D6F6F"/>
    <w:rsid w:val="008E1FA3"/>
    <w:rsid w:val="008E3686"/>
    <w:rsid w:val="008E38C9"/>
    <w:rsid w:val="008E6510"/>
    <w:rsid w:val="008E6710"/>
    <w:rsid w:val="008E6836"/>
    <w:rsid w:val="008E7A7B"/>
    <w:rsid w:val="008F0539"/>
    <w:rsid w:val="008F27B8"/>
    <w:rsid w:val="008F2DF2"/>
    <w:rsid w:val="008F35E4"/>
    <w:rsid w:val="008F45F1"/>
    <w:rsid w:val="008F57EB"/>
    <w:rsid w:val="008F64C5"/>
    <w:rsid w:val="008F6C99"/>
    <w:rsid w:val="00905F32"/>
    <w:rsid w:val="00906910"/>
    <w:rsid w:val="00906C34"/>
    <w:rsid w:val="009101FA"/>
    <w:rsid w:val="00912169"/>
    <w:rsid w:val="009124B0"/>
    <w:rsid w:val="00913DE4"/>
    <w:rsid w:val="00920292"/>
    <w:rsid w:val="0092037A"/>
    <w:rsid w:val="009204C9"/>
    <w:rsid w:val="009209C8"/>
    <w:rsid w:val="0092133E"/>
    <w:rsid w:val="00921AFC"/>
    <w:rsid w:val="00922235"/>
    <w:rsid w:val="00922AD7"/>
    <w:rsid w:val="009242C2"/>
    <w:rsid w:val="009246AD"/>
    <w:rsid w:val="00924F3D"/>
    <w:rsid w:val="009261F2"/>
    <w:rsid w:val="0092729A"/>
    <w:rsid w:val="009312AE"/>
    <w:rsid w:val="00934C47"/>
    <w:rsid w:val="00940F80"/>
    <w:rsid w:val="00941BD8"/>
    <w:rsid w:val="0094201C"/>
    <w:rsid w:val="00942656"/>
    <w:rsid w:val="00943714"/>
    <w:rsid w:val="0094396C"/>
    <w:rsid w:val="00944919"/>
    <w:rsid w:val="00945D57"/>
    <w:rsid w:val="0094739B"/>
    <w:rsid w:val="009513A7"/>
    <w:rsid w:val="00952B1D"/>
    <w:rsid w:val="00953565"/>
    <w:rsid w:val="00957230"/>
    <w:rsid w:val="00961A6C"/>
    <w:rsid w:val="00962F71"/>
    <w:rsid w:val="00964BFF"/>
    <w:rsid w:val="00967A6F"/>
    <w:rsid w:val="009713D0"/>
    <w:rsid w:val="0097233D"/>
    <w:rsid w:val="00974622"/>
    <w:rsid w:val="00975A37"/>
    <w:rsid w:val="00976B9D"/>
    <w:rsid w:val="0097700A"/>
    <w:rsid w:val="00977F37"/>
    <w:rsid w:val="0098510E"/>
    <w:rsid w:val="009856F1"/>
    <w:rsid w:val="00985714"/>
    <w:rsid w:val="00990028"/>
    <w:rsid w:val="00990052"/>
    <w:rsid w:val="0099545F"/>
    <w:rsid w:val="00995DDB"/>
    <w:rsid w:val="0099631E"/>
    <w:rsid w:val="00996E3C"/>
    <w:rsid w:val="00997E91"/>
    <w:rsid w:val="009A2136"/>
    <w:rsid w:val="009A4C0D"/>
    <w:rsid w:val="009A5C94"/>
    <w:rsid w:val="009A7DBD"/>
    <w:rsid w:val="009B0029"/>
    <w:rsid w:val="009B16A6"/>
    <w:rsid w:val="009B2004"/>
    <w:rsid w:val="009B5BA5"/>
    <w:rsid w:val="009C1877"/>
    <w:rsid w:val="009C55CD"/>
    <w:rsid w:val="009C6235"/>
    <w:rsid w:val="009C7AAA"/>
    <w:rsid w:val="009D0685"/>
    <w:rsid w:val="009D0998"/>
    <w:rsid w:val="009D1029"/>
    <w:rsid w:val="009D3CD8"/>
    <w:rsid w:val="009D60BA"/>
    <w:rsid w:val="009E0893"/>
    <w:rsid w:val="009E1109"/>
    <w:rsid w:val="009E3705"/>
    <w:rsid w:val="009E4226"/>
    <w:rsid w:val="009E4CCD"/>
    <w:rsid w:val="009F191D"/>
    <w:rsid w:val="009F329C"/>
    <w:rsid w:val="009F3500"/>
    <w:rsid w:val="00A02D62"/>
    <w:rsid w:val="00A04284"/>
    <w:rsid w:val="00A04483"/>
    <w:rsid w:val="00A04B51"/>
    <w:rsid w:val="00A04BE2"/>
    <w:rsid w:val="00A050D2"/>
    <w:rsid w:val="00A05ECF"/>
    <w:rsid w:val="00A06D58"/>
    <w:rsid w:val="00A07779"/>
    <w:rsid w:val="00A11DB9"/>
    <w:rsid w:val="00A12D68"/>
    <w:rsid w:val="00A14240"/>
    <w:rsid w:val="00A158E3"/>
    <w:rsid w:val="00A15C45"/>
    <w:rsid w:val="00A161E6"/>
    <w:rsid w:val="00A16AAB"/>
    <w:rsid w:val="00A16C21"/>
    <w:rsid w:val="00A16D86"/>
    <w:rsid w:val="00A17332"/>
    <w:rsid w:val="00A17752"/>
    <w:rsid w:val="00A20EB5"/>
    <w:rsid w:val="00A21064"/>
    <w:rsid w:val="00A22EDB"/>
    <w:rsid w:val="00A24088"/>
    <w:rsid w:val="00A24254"/>
    <w:rsid w:val="00A250A9"/>
    <w:rsid w:val="00A25210"/>
    <w:rsid w:val="00A25E1F"/>
    <w:rsid w:val="00A266EF"/>
    <w:rsid w:val="00A305CF"/>
    <w:rsid w:val="00A3134C"/>
    <w:rsid w:val="00A3452D"/>
    <w:rsid w:val="00A40D55"/>
    <w:rsid w:val="00A40FEA"/>
    <w:rsid w:val="00A41B05"/>
    <w:rsid w:val="00A438EC"/>
    <w:rsid w:val="00A44D07"/>
    <w:rsid w:val="00A451DC"/>
    <w:rsid w:val="00A45BE5"/>
    <w:rsid w:val="00A45C34"/>
    <w:rsid w:val="00A50F27"/>
    <w:rsid w:val="00A514E3"/>
    <w:rsid w:val="00A53472"/>
    <w:rsid w:val="00A54138"/>
    <w:rsid w:val="00A55C14"/>
    <w:rsid w:val="00A62612"/>
    <w:rsid w:val="00A62771"/>
    <w:rsid w:val="00A63604"/>
    <w:rsid w:val="00A715EC"/>
    <w:rsid w:val="00A71B5D"/>
    <w:rsid w:val="00A73E50"/>
    <w:rsid w:val="00A82A42"/>
    <w:rsid w:val="00A834A6"/>
    <w:rsid w:val="00A840F0"/>
    <w:rsid w:val="00A85038"/>
    <w:rsid w:val="00A85D8D"/>
    <w:rsid w:val="00A8626D"/>
    <w:rsid w:val="00A866CC"/>
    <w:rsid w:val="00A8696E"/>
    <w:rsid w:val="00A86C63"/>
    <w:rsid w:val="00A870D3"/>
    <w:rsid w:val="00A877D8"/>
    <w:rsid w:val="00A90643"/>
    <w:rsid w:val="00A909AF"/>
    <w:rsid w:val="00A93448"/>
    <w:rsid w:val="00A94D13"/>
    <w:rsid w:val="00A974B3"/>
    <w:rsid w:val="00AA06F5"/>
    <w:rsid w:val="00AA0CA2"/>
    <w:rsid w:val="00AA1481"/>
    <w:rsid w:val="00AA15A7"/>
    <w:rsid w:val="00AA23F2"/>
    <w:rsid w:val="00AA5541"/>
    <w:rsid w:val="00AA5869"/>
    <w:rsid w:val="00AA7E5C"/>
    <w:rsid w:val="00AB0189"/>
    <w:rsid w:val="00AB06D7"/>
    <w:rsid w:val="00AB0F6F"/>
    <w:rsid w:val="00AB11E3"/>
    <w:rsid w:val="00AB1644"/>
    <w:rsid w:val="00AB23A7"/>
    <w:rsid w:val="00AB34C5"/>
    <w:rsid w:val="00AB4092"/>
    <w:rsid w:val="00AB5E40"/>
    <w:rsid w:val="00AB6D43"/>
    <w:rsid w:val="00AC0211"/>
    <w:rsid w:val="00AC12D6"/>
    <w:rsid w:val="00AC16E3"/>
    <w:rsid w:val="00AC37F1"/>
    <w:rsid w:val="00AC38D2"/>
    <w:rsid w:val="00AC415A"/>
    <w:rsid w:val="00AC4AA4"/>
    <w:rsid w:val="00AC5045"/>
    <w:rsid w:val="00AD2E94"/>
    <w:rsid w:val="00AD57A8"/>
    <w:rsid w:val="00AD5A32"/>
    <w:rsid w:val="00AD68C8"/>
    <w:rsid w:val="00AE0122"/>
    <w:rsid w:val="00AE343E"/>
    <w:rsid w:val="00AE4983"/>
    <w:rsid w:val="00AE7669"/>
    <w:rsid w:val="00AF1B6E"/>
    <w:rsid w:val="00AF45E5"/>
    <w:rsid w:val="00AF6625"/>
    <w:rsid w:val="00B01A3C"/>
    <w:rsid w:val="00B02741"/>
    <w:rsid w:val="00B02E82"/>
    <w:rsid w:val="00B03086"/>
    <w:rsid w:val="00B0429C"/>
    <w:rsid w:val="00B05C6C"/>
    <w:rsid w:val="00B05E3C"/>
    <w:rsid w:val="00B076C9"/>
    <w:rsid w:val="00B1020F"/>
    <w:rsid w:val="00B10878"/>
    <w:rsid w:val="00B116B8"/>
    <w:rsid w:val="00B12AD9"/>
    <w:rsid w:val="00B14DD3"/>
    <w:rsid w:val="00B151FD"/>
    <w:rsid w:val="00B15503"/>
    <w:rsid w:val="00B16C74"/>
    <w:rsid w:val="00B17148"/>
    <w:rsid w:val="00B20E28"/>
    <w:rsid w:val="00B21683"/>
    <w:rsid w:val="00B22564"/>
    <w:rsid w:val="00B22A2F"/>
    <w:rsid w:val="00B2735C"/>
    <w:rsid w:val="00B300B1"/>
    <w:rsid w:val="00B3055E"/>
    <w:rsid w:val="00B30584"/>
    <w:rsid w:val="00B31AD8"/>
    <w:rsid w:val="00B33351"/>
    <w:rsid w:val="00B346D3"/>
    <w:rsid w:val="00B3619E"/>
    <w:rsid w:val="00B36C51"/>
    <w:rsid w:val="00B3755F"/>
    <w:rsid w:val="00B37727"/>
    <w:rsid w:val="00B4009E"/>
    <w:rsid w:val="00B40E06"/>
    <w:rsid w:val="00B42D3D"/>
    <w:rsid w:val="00B42EE0"/>
    <w:rsid w:val="00B452B9"/>
    <w:rsid w:val="00B4546A"/>
    <w:rsid w:val="00B4551D"/>
    <w:rsid w:val="00B465C6"/>
    <w:rsid w:val="00B504A3"/>
    <w:rsid w:val="00B506D6"/>
    <w:rsid w:val="00B50B03"/>
    <w:rsid w:val="00B51C6B"/>
    <w:rsid w:val="00B5254E"/>
    <w:rsid w:val="00B52ACE"/>
    <w:rsid w:val="00B52DB8"/>
    <w:rsid w:val="00B55035"/>
    <w:rsid w:val="00B55F3F"/>
    <w:rsid w:val="00B62623"/>
    <w:rsid w:val="00B6382A"/>
    <w:rsid w:val="00B64294"/>
    <w:rsid w:val="00B65BDF"/>
    <w:rsid w:val="00B65D27"/>
    <w:rsid w:val="00B6617F"/>
    <w:rsid w:val="00B662DE"/>
    <w:rsid w:val="00B662F6"/>
    <w:rsid w:val="00B66D18"/>
    <w:rsid w:val="00B72F68"/>
    <w:rsid w:val="00B7618D"/>
    <w:rsid w:val="00B762D5"/>
    <w:rsid w:val="00B7784F"/>
    <w:rsid w:val="00B77F33"/>
    <w:rsid w:val="00B81923"/>
    <w:rsid w:val="00B825B4"/>
    <w:rsid w:val="00B831EE"/>
    <w:rsid w:val="00B832AE"/>
    <w:rsid w:val="00B85F9D"/>
    <w:rsid w:val="00B86133"/>
    <w:rsid w:val="00B8782B"/>
    <w:rsid w:val="00B9028D"/>
    <w:rsid w:val="00B919B0"/>
    <w:rsid w:val="00B91B6D"/>
    <w:rsid w:val="00B929F9"/>
    <w:rsid w:val="00B934F1"/>
    <w:rsid w:val="00B935CC"/>
    <w:rsid w:val="00B95530"/>
    <w:rsid w:val="00B969C6"/>
    <w:rsid w:val="00B97433"/>
    <w:rsid w:val="00BA127F"/>
    <w:rsid w:val="00BA13FD"/>
    <w:rsid w:val="00BA262C"/>
    <w:rsid w:val="00BA27AA"/>
    <w:rsid w:val="00BA2DF2"/>
    <w:rsid w:val="00BA36B7"/>
    <w:rsid w:val="00BA44DF"/>
    <w:rsid w:val="00BA52C3"/>
    <w:rsid w:val="00BA5415"/>
    <w:rsid w:val="00BA5C7A"/>
    <w:rsid w:val="00BA7881"/>
    <w:rsid w:val="00BB0A85"/>
    <w:rsid w:val="00BB1592"/>
    <w:rsid w:val="00BB2140"/>
    <w:rsid w:val="00BB2589"/>
    <w:rsid w:val="00BB2E18"/>
    <w:rsid w:val="00BB4DD1"/>
    <w:rsid w:val="00BB4ED3"/>
    <w:rsid w:val="00BB6261"/>
    <w:rsid w:val="00BB6DF7"/>
    <w:rsid w:val="00BB7B92"/>
    <w:rsid w:val="00BC3A67"/>
    <w:rsid w:val="00BC459E"/>
    <w:rsid w:val="00BC4B2D"/>
    <w:rsid w:val="00BC5709"/>
    <w:rsid w:val="00BC5ADC"/>
    <w:rsid w:val="00BC5BF5"/>
    <w:rsid w:val="00BC6698"/>
    <w:rsid w:val="00BC6A0D"/>
    <w:rsid w:val="00BC72AE"/>
    <w:rsid w:val="00BD1816"/>
    <w:rsid w:val="00BD2083"/>
    <w:rsid w:val="00BD2F4B"/>
    <w:rsid w:val="00BD3304"/>
    <w:rsid w:val="00BD359E"/>
    <w:rsid w:val="00BD438C"/>
    <w:rsid w:val="00BD47BD"/>
    <w:rsid w:val="00BD4886"/>
    <w:rsid w:val="00BD56E6"/>
    <w:rsid w:val="00BD63B5"/>
    <w:rsid w:val="00BD6B5F"/>
    <w:rsid w:val="00BE0719"/>
    <w:rsid w:val="00BE1DDF"/>
    <w:rsid w:val="00BE2335"/>
    <w:rsid w:val="00BE2998"/>
    <w:rsid w:val="00BE3275"/>
    <w:rsid w:val="00BE67E1"/>
    <w:rsid w:val="00BF0D59"/>
    <w:rsid w:val="00BF1CCA"/>
    <w:rsid w:val="00BF2BA5"/>
    <w:rsid w:val="00BF3028"/>
    <w:rsid w:val="00BF364A"/>
    <w:rsid w:val="00BF48EE"/>
    <w:rsid w:val="00C01606"/>
    <w:rsid w:val="00C0271A"/>
    <w:rsid w:val="00C035D6"/>
    <w:rsid w:val="00C0389A"/>
    <w:rsid w:val="00C03951"/>
    <w:rsid w:val="00C054F5"/>
    <w:rsid w:val="00C05C5E"/>
    <w:rsid w:val="00C05FD2"/>
    <w:rsid w:val="00C06292"/>
    <w:rsid w:val="00C06F57"/>
    <w:rsid w:val="00C1085E"/>
    <w:rsid w:val="00C10EE0"/>
    <w:rsid w:val="00C118AB"/>
    <w:rsid w:val="00C12556"/>
    <w:rsid w:val="00C14580"/>
    <w:rsid w:val="00C14953"/>
    <w:rsid w:val="00C222A8"/>
    <w:rsid w:val="00C23070"/>
    <w:rsid w:val="00C2510D"/>
    <w:rsid w:val="00C27766"/>
    <w:rsid w:val="00C303A7"/>
    <w:rsid w:val="00C322FD"/>
    <w:rsid w:val="00C329F2"/>
    <w:rsid w:val="00C361EA"/>
    <w:rsid w:val="00C362AC"/>
    <w:rsid w:val="00C368E4"/>
    <w:rsid w:val="00C36BDA"/>
    <w:rsid w:val="00C37E7E"/>
    <w:rsid w:val="00C4181C"/>
    <w:rsid w:val="00C41F38"/>
    <w:rsid w:val="00C42FE1"/>
    <w:rsid w:val="00C434CA"/>
    <w:rsid w:val="00C437F5"/>
    <w:rsid w:val="00C44339"/>
    <w:rsid w:val="00C44F4D"/>
    <w:rsid w:val="00C45E0A"/>
    <w:rsid w:val="00C4743D"/>
    <w:rsid w:val="00C47869"/>
    <w:rsid w:val="00C5096B"/>
    <w:rsid w:val="00C51D18"/>
    <w:rsid w:val="00C52C6E"/>
    <w:rsid w:val="00C55EC3"/>
    <w:rsid w:val="00C5760C"/>
    <w:rsid w:val="00C57809"/>
    <w:rsid w:val="00C6032D"/>
    <w:rsid w:val="00C631EB"/>
    <w:rsid w:val="00C653AF"/>
    <w:rsid w:val="00C70BFA"/>
    <w:rsid w:val="00C71326"/>
    <w:rsid w:val="00C71B86"/>
    <w:rsid w:val="00C73ED5"/>
    <w:rsid w:val="00C75519"/>
    <w:rsid w:val="00C75A53"/>
    <w:rsid w:val="00C75B56"/>
    <w:rsid w:val="00C75B5C"/>
    <w:rsid w:val="00C773C4"/>
    <w:rsid w:val="00C805AE"/>
    <w:rsid w:val="00C8133A"/>
    <w:rsid w:val="00C82C0C"/>
    <w:rsid w:val="00C83877"/>
    <w:rsid w:val="00C84DAD"/>
    <w:rsid w:val="00C84E82"/>
    <w:rsid w:val="00C8648A"/>
    <w:rsid w:val="00C87576"/>
    <w:rsid w:val="00C918A3"/>
    <w:rsid w:val="00C925CC"/>
    <w:rsid w:val="00C92CF8"/>
    <w:rsid w:val="00C93BC9"/>
    <w:rsid w:val="00C94315"/>
    <w:rsid w:val="00C94A58"/>
    <w:rsid w:val="00CA4E51"/>
    <w:rsid w:val="00CA6810"/>
    <w:rsid w:val="00CB03D3"/>
    <w:rsid w:val="00CB0D6B"/>
    <w:rsid w:val="00CB119D"/>
    <w:rsid w:val="00CB1AA6"/>
    <w:rsid w:val="00CB1DCF"/>
    <w:rsid w:val="00CB22DD"/>
    <w:rsid w:val="00CB2EF4"/>
    <w:rsid w:val="00CB37B1"/>
    <w:rsid w:val="00CB38B0"/>
    <w:rsid w:val="00CB41EA"/>
    <w:rsid w:val="00CC0C03"/>
    <w:rsid w:val="00CC2091"/>
    <w:rsid w:val="00CC30DD"/>
    <w:rsid w:val="00CC3F13"/>
    <w:rsid w:val="00CC55D1"/>
    <w:rsid w:val="00CC57BD"/>
    <w:rsid w:val="00CC6045"/>
    <w:rsid w:val="00CD1455"/>
    <w:rsid w:val="00CD1CCE"/>
    <w:rsid w:val="00CD37FF"/>
    <w:rsid w:val="00CD4AC7"/>
    <w:rsid w:val="00CD7325"/>
    <w:rsid w:val="00CD7EFF"/>
    <w:rsid w:val="00CE272C"/>
    <w:rsid w:val="00CE2C8E"/>
    <w:rsid w:val="00CE37B6"/>
    <w:rsid w:val="00CE78AA"/>
    <w:rsid w:val="00CF05A7"/>
    <w:rsid w:val="00CF0C05"/>
    <w:rsid w:val="00CF1A35"/>
    <w:rsid w:val="00CF3A5F"/>
    <w:rsid w:val="00CF4122"/>
    <w:rsid w:val="00CF79EB"/>
    <w:rsid w:val="00D00281"/>
    <w:rsid w:val="00D014C3"/>
    <w:rsid w:val="00D02101"/>
    <w:rsid w:val="00D02AAC"/>
    <w:rsid w:val="00D05E51"/>
    <w:rsid w:val="00D06163"/>
    <w:rsid w:val="00D06E24"/>
    <w:rsid w:val="00D07076"/>
    <w:rsid w:val="00D077E3"/>
    <w:rsid w:val="00D10045"/>
    <w:rsid w:val="00D107F1"/>
    <w:rsid w:val="00D10919"/>
    <w:rsid w:val="00D117B4"/>
    <w:rsid w:val="00D118AA"/>
    <w:rsid w:val="00D15A20"/>
    <w:rsid w:val="00D15EBC"/>
    <w:rsid w:val="00D17FDE"/>
    <w:rsid w:val="00D20BD8"/>
    <w:rsid w:val="00D20F64"/>
    <w:rsid w:val="00D3046D"/>
    <w:rsid w:val="00D30E2F"/>
    <w:rsid w:val="00D3299C"/>
    <w:rsid w:val="00D32E24"/>
    <w:rsid w:val="00D41AB8"/>
    <w:rsid w:val="00D42CF3"/>
    <w:rsid w:val="00D44889"/>
    <w:rsid w:val="00D44B1B"/>
    <w:rsid w:val="00D50BBB"/>
    <w:rsid w:val="00D54C32"/>
    <w:rsid w:val="00D55297"/>
    <w:rsid w:val="00D5570D"/>
    <w:rsid w:val="00D55AE0"/>
    <w:rsid w:val="00D55CC6"/>
    <w:rsid w:val="00D56A02"/>
    <w:rsid w:val="00D628B9"/>
    <w:rsid w:val="00D63133"/>
    <w:rsid w:val="00D63CEF"/>
    <w:rsid w:val="00D6584D"/>
    <w:rsid w:val="00D65FF9"/>
    <w:rsid w:val="00D67491"/>
    <w:rsid w:val="00D67637"/>
    <w:rsid w:val="00D67BB0"/>
    <w:rsid w:val="00D70F05"/>
    <w:rsid w:val="00D71E77"/>
    <w:rsid w:val="00D72294"/>
    <w:rsid w:val="00D726FA"/>
    <w:rsid w:val="00D7510A"/>
    <w:rsid w:val="00D76B7D"/>
    <w:rsid w:val="00D77719"/>
    <w:rsid w:val="00D77F36"/>
    <w:rsid w:val="00D80986"/>
    <w:rsid w:val="00D818A0"/>
    <w:rsid w:val="00D821C7"/>
    <w:rsid w:val="00D8794C"/>
    <w:rsid w:val="00D90782"/>
    <w:rsid w:val="00D91CA9"/>
    <w:rsid w:val="00D91CC1"/>
    <w:rsid w:val="00D92F40"/>
    <w:rsid w:val="00D94484"/>
    <w:rsid w:val="00D945AD"/>
    <w:rsid w:val="00D950EA"/>
    <w:rsid w:val="00D963C2"/>
    <w:rsid w:val="00D96643"/>
    <w:rsid w:val="00DA0CB8"/>
    <w:rsid w:val="00DA2032"/>
    <w:rsid w:val="00DA3E70"/>
    <w:rsid w:val="00DA3F35"/>
    <w:rsid w:val="00DA4946"/>
    <w:rsid w:val="00DA6ABE"/>
    <w:rsid w:val="00DA76C5"/>
    <w:rsid w:val="00DB0CED"/>
    <w:rsid w:val="00DB0E0E"/>
    <w:rsid w:val="00DB3EAD"/>
    <w:rsid w:val="00DB47DF"/>
    <w:rsid w:val="00DB5C2A"/>
    <w:rsid w:val="00DC218B"/>
    <w:rsid w:val="00DC222D"/>
    <w:rsid w:val="00DC2377"/>
    <w:rsid w:val="00DC6303"/>
    <w:rsid w:val="00DC6688"/>
    <w:rsid w:val="00DC6FAA"/>
    <w:rsid w:val="00DC7D00"/>
    <w:rsid w:val="00DD3009"/>
    <w:rsid w:val="00DD4C40"/>
    <w:rsid w:val="00DD5032"/>
    <w:rsid w:val="00DD54C0"/>
    <w:rsid w:val="00DD5E3F"/>
    <w:rsid w:val="00DD6BE6"/>
    <w:rsid w:val="00DD6CE3"/>
    <w:rsid w:val="00DD6DBB"/>
    <w:rsid w:val="00DD73B6"/>
    <w:rsid w:val="00DD7FEC"/>
    <w:rsid w:val="00DE174D"/>
    <w:rsid w:val="00DE289E"/>
    <w:rsid w:val="00DE29FF"/>
    <w:rsid w:val="00DE3A5A"/>
    <w:rsid w:val="00DE4D32"/>
    <w:rsid w:val="00DE5428"/>
    <w:rsid w:val="00DE54C0"/>
    <w:rsid w:val="00DE5F1A"/>
    <w:rsid w:val="00DE6679"/>
    <w:rsid w:val="00DE6AAC"/>
    <w:rsid w:val="00DE73CC"/>
    <w:rsid w:val="00DE7804"/>
    <w:rsid w:val="00DE7A97"/>
    <w:rsid w:val="00DF0017"/>
    <w:rsid w:val="00DF0474"/>
    <w:rsid w:val="00DF04B8"/>
    <w:rsid w:val="00DF1C57"/>
    <w:rsid w:val="00DF2573"/>
    <w:rsid w:val="00DF266F"/>
    <w:rsid w:val="00DF2C79"/>
    <w:rsid w:val="00DF2CD6"/>
    <w:rsid w:val="00DF2D0C"/>
    <w:rsid w:val="00DF3658"/>
    <w:rsid w:val="00DF4A2B"/>
    <w:rsid w:val="00E00084"/>
    <w:rsid w:val="00E00F34"/>
    <w:rsid w:val="00E02868"/>
    <w:rsid w:val="00E04E1A"/>
    <w:rsid w:val="00E057D2"/>
    <w:rsid w:val="00E05EC5"/>
    <w:rsid w:val="00E05EC8"/>
    <w:rsid w:val="00E070A3"/>
    <w:rsid w:val="00E074F2"/>
    <w:rsid w:val="00E10299"/>
    <w:rsid w:val="00E102BD"/>
    <w:rsid w:val="00E10820"/>
    <w:rsid w:val="00E1197F"/>
    <w:rsid w:val="00E12281"/>
    <w:rsid w:val="00E128BB"/>
    <w:rsid w:val="00E12F03"/>
    <w:rsid w:val="00E15519"/>
    <w:rsid w:val="00E165D5"/>
    <w:rsid w:val="00E16E0B"/>
    <w:rsid w:val="00E20540"/>
    <w:rsid w:val="00E210D5"/>
    <w:rsid w:val="00E211FB"/>
    <w:rsid w:val="00E219E0"/>
    <w:rsid w:val="00E223F0"/>
    <w:rsid w:val="00E2357D"/>
    <w:rsid w:val="00E23B81"/>
    <w:rsid w:val="00E24336"/>
    <w:rsid w:val="00E2478C"/>
    <w:rsid w:val="00E2529F"/>
    <w:rsid w:val="00E26FAD"/>
    <w:rsid w:val="00E30CC8"/>
    <w:rsid w:val="00E3111B"/>
    <w:rsid w:val="00E33654"/>
    <w:rsid w:val="00E3512D"/>
    <w:rsid w:val="00E37082"/>
    <w:rsid w:val="00E37E5E"/>
    <w:rsid w:val="00E40C45"/>
    <w:rsid w:val="00E42E09"/>
    <w:rsid w:val="00E43FB7"/>
    <w:rsid w:val="00E44595"/>
    <w:rsid w:val="00E45530"/>
    <w:rsid w:val="00E503CE"/>
    <w:rsid w:val="00E52586"/>
    <w:rsid w:val="00E5259E"/>
    <w:rsid w:val="00E52ECD"/>
    <w:rsid w:val="00E55FD7"/>
    <w:rsid w:val="00E61590"/>
    <w:rsid w:val="00E624F7"/>
    <w:rsid w:val="00E62F5E"/>
    <w:rsid w:val="00E63043"/>
    <w:rsid w:val="00E63168"/>
    <w:rsid w:val="00E64340"/>
    <w:rsid w:val="00E65652"/>
    <w:rsid w:val="00E663E5"/>
    <w:rsid w:val="00E66AC9"/>
    <w:rsid w:val="00E66E7D"/>
    <w:rsid w:val="00E670F4"/>
    <w:rsid w:val="00E67206"/>
    <w:rsid w:val="00E704C8"/>
    <w:rsid w:val="00E739D4"/>
    <w:rsid w:val="00E744EC"/>
    <w:rsid w:val="00E75141"/>
    <w:rsid w:val="00E8093B"/>
    <w:rsid w:val="00E8109B"/>
    <w:rsid w:val="00E81A45"/>
    <w:rsid w:val="00E82015"/>
    <w:rsid w:val="00E85424"/>
    <w:rsid w:val="00E90C50"/>
    <w:rsid w:val="00E92455"/>
    <w:rsid w:val="00E933F1"/>
    <w:rsid w:val="00E9415A"/>
    <w:rsid w:val="00E95E98"/>
    <w:rsid w:val="00E96302"/>
    <w:rsid w:val="00EA168C"/>
    <w:rsid w:val="00EA2286"/>
    <w:rsid w:val="00EA2EC4"/>
    <w:rsid w:val="00EB0812"/>
    <w:rsid w:val="00EB1FF0"/>
    <w:rsid w:val="00EB345B"/>
    <w:rsid w:val="00EB3D1A"/>
    <w:rsid w:val="00EB414C"/>
    <w:rsid w:val="00EB5A2B"/>
    <w:rsid w:val="00EB5AD7"/>
    <w:rsid w:val="00EB6357"/>
    <w:rsid w:val="00EB6C91"/>
    <w:rsid w:val="00EC1E5A"/>
    <w:rsid w:val="00EC21B8"/>
    <w:rsid w:val="00EC3276"/>
    <w:rsid w:val="00EC3F10"/>
    <w:rsid w:val="00EC48E8"/>
    <w:rsid w:val="00EC5244"/>
    <w:rsid w:val="00EC7540"/>
    <w:rsid w:val="00ED16D0"/>
    <w:rsid w:val="00ED1E8A"/>
    <w:rsid w:val="00ED2671"/>
    <w:rsid w:val="00ED3594"/>
    <w:rsid w:val="00ED3D52"/>
    <w:rsid w:val="00ED4F21"/>
    <w:rsid w:val="00ED6007"/>
    <w:rsid w:val="00ED649A"/>
    <w:rsid w:val="00EE0904"/>
    <w:rsid w:val="00EE0F53"/>
    <w:rsid w:val="00EE3645"/>
    <w:rsid w:val="00EE3EC0"/>
    <w:rsid w:val="00EE4904"/>
    <w:rsid w:val="00EE56D3"/>
    <w:rsid w:val="00EE5F4F"/>
    <w:rsid w:val="00EE6A58"/>
    <w:rsid w:val="00EE730B"/>
    <w:rsid w:val="00EE74BC"/>
    <w:rsid w:val="00EF0742"/>
    <w:rsid w:val="00EF0A40"/>
    <w:rsid w:val="00EF0F55"/>
    <w:rsid w:val="00EF1AA9"/>
    <w:rsid w:val="00EF1F5B"/>
    <w:rsid w:val="00EF48AC"/>
    <w:rsid w:val="00EF6461"/>
    <w:rsid w:val="00EF6859"/>
    <w:rsid w:val="00EF70EA"/>
    <w:rsid w:val="00EF7229"/>
    <w:rsid w:val="00F002EE"/>
    <w:rsid w:val="00F017EE"/>
    <w:rsid w:val="00F02462"/>
    <w:rsid w:val="00F02BE5"/>
    <w:rsid w:val="00F04035"/>
    <w:rsid w:val="00F056C1"/>
    <w:rsid w:val="00F0640A"/>
    <w:rsid w:val="00F07C5F"/>
    <w:rsid w:val="00F1244C"/>
    <w:rsid w:val="00F136B8"/>
    <w:rsid w:val="00F14A95"/>
    <w:rsid w:val="00F14D63"/>
    <w:rsid w:val="00F16C3F"/>
    <w:rsid w:val="00F16FC0"/>
    <w:rsid w:val="00F17A6C"/>
    <w:rsid w:val="00F20E00"/>
    <w:rsid w:val="00F2110C"/>
    <w:rsid w:val="00F232CF"/>
    <w:rsid w:val="00F244A0"/>
    <w:rsid w:val="00F26902"/>
    <w:rsid w:val="00F26A83"/>
    <w:rsid w:val="00F26E46"/>
    <w:rsid w:val="00F3200B"/>
    <w:rsid w:val="00F32118"/>
    <w:rsid w:val="00F34DF5"/>
    <w:rsid w:val="00F37F0B"/>
    <w:rsid w:val="00F40C5C"/>
    <w:rsid w:val="00F410C9"/>
    <w:rsid w:val="00F42DAE"/>
    <w:rsid w:val="00F431D2"/>
    <w:rsid w:val="00F45065"/>
    <w:rsid w:val="00F46F62"/>
    <w:rsid w:val="00F47B85"/>
    <w:rsid w:val="00F53F42"/>
    <w:rsid w:val="00F550A6"/>
    <w:rsid w:val="00F56649"/>
    <w:rsid w:val="00F6094E"/>
    <w:rsid w:val="00F6185C"/>
    <w:rsid w:val="00F6371C"/>
    <w:rsid w:val="00F63B35"/>
    <w:rsid w:val="00F6458A"/>
    <w:rsid w:val="00F65773"/>
    <w:rsid w:val="00F65F5F"/>
    <w:rsid w:val="00F67BFF"/>
    <w:rsid w:val="00F67E89"/>
    <w:rsid w:val="00F703D6"/>
    <w:rsid w:val="00F717A4"/>
    <w:rsid w:val="00F72FE1"/>
    <w:rsid w:val="00F73418"/>
    <w:rsid w:val="00F762B6"/>
    <w:rsid w:val="00F82B1F"/>
    <w:rsid w:val="00F833A1"/>
    <w:rsid w:val="00F8414E"/>
    <w:rsid w:val="00F866F4"/>
    <w:rsid w:val="00F87534"/>
    <w:rsid w:val="00F87D97"/>
    <w:rsid w:val="00F9065F"/>
    <w:rsid w:val="00F91091"/>
    <w:rsid w:val="00F91F6A"/>
    <w:rsid w:val="00F94D8D"/>
    <w:rsid w:val="00F95305"/>
    <w:rsid w:val="00F96A0A"/>
    <w:rsid w:val="00F973AA"/>
    <w:rsid w:val="00F97BE5"/>
    <w:rsid w:val="00FA14A5"/>
    <w:rsid w:val="00FA17C9"/>
    <w:rsid w:val="00FA2951"/>
    <w:rsid w:val="00FA2EC4"/>
    <w:rsid w:val="00FA2F3A"/>
    <w:rsid w:val="00FA342C"/>
    <w:rsid w:val="00FA3E16"/>
    <w:rsid w:val="00FA49A0"/>
    <w:rsid w:val="00FA55C5"/>
    <w:rsid w:val="00FA7209"/>
    <w:rsid w:val="00FA7623"/>
    <w:rsid w:val="00FA7976"/>
    <w:rsid w:val="00FA7ED4"/>
    <w:rsid w:val="00FB02B4"/>
    <w:rsid w:val="00FB0361"/>
    <w:rsid w:val="00FB1AC8"/>
    <w:rsid w:val="00FB22B5"/>
    <w:rsid w:val="00FB2C3C"/>
    <w:rsid w:val="00FB2CC7"/>
    <w:rsid w:val="00FB3ED2"/>
    <w:rsid w:val="00FB403A"/>
    <w:rsid w:val="00FB4270"/>
    <w:rsid w:val="00FB47B0"/>
    <w:rsid w:val="00FB55D6"/>
    <w:rsid w:val="00FB646F"/>
    <w:rsid w:val="00FB6A45"/>
    <w:rsid w:val="00FC0470"/>
    <w:rsid w:val="00FC0FC2"/>
    <w:rsid w:val="00FC1864"/>
    <w:rsid w:val="00FC29B9"/>
    <w:rsid w:val="00FC2FC0"/>
    <w:rsid w:val="00FC526B"/>
    <w:rsid w:val="00FD0773"/>
    <w:rsid w:val="00FD08BC"/>
    <w:rsid w:val="00FD1320"/>
    <w:rsid w:val="00FD23A3"/>
    <w:rsid w:val="00FD4528"/>
    <w:rsid w:val="00FD5AE7"/>
    <w:rsid w:val="00FD665D"/>
    <w:rsid w:val="00FD6CBE"/>
    <w:rsid w:val="00FD7508"/>
    <w:rsid w:val="00FE1749"/>
    <w:rsid w:val="00FE1D65"/>
    <w:rsid w:val="00FE45B0"/>
    <w:rsid w:val="00FE5B6C"/>
    <w:rsid w:val="00FF0083"/>
    <w:rsid w:val="00FF1758"/>
    <w:rsid w:val="00FF17B5"/>
    <w:rsid w:val="00FF2F85"/>
    <w:rsid w:val="00FF413B"/>
    <w:rsid w:val="00FF4164"/>
    <w:rsid w:val="00FF4B47"/>
    <w:rsid w:val="00FF7347"/>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DDB1AC"/>
  <w15:docId w15:val="{0775B024-6E89-4F5F-9DCB-D1B55DEB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74F7"/>
    <w:pPr>
      <w:spacing w:after="200"/>
      <w:jc w:val="both"/>
    </w:pPr>
    <w:rPr>
      <w:rFonts w:ascii="Times" w:hAnsi="Times"/>
      <w:sz w:val="24"/>
    </w:rPr>
  </w:style>
  <w:style w:type="paragraph" w:styleId="Heading1">
    <w:name w:val="heading 1"/>
    <w:basedOn w:val="Normal"/>
    <w:next w:val="Normal"/>
    <w:link w:val="Heading1Char"/>
    <w:uiPriority w:val="9"/>
    <w:qFormat/>
    <w:rsid w:val="00227043"/>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Heading2">
    <w:name w:val="heading 2"/>
    <w:basedOn w:val="Normal"/>
    <w:next w:val="Normal"/>
    <w:link w:val="Heading2Char"/>
    <w:uiPriority w:val="9"/>
    <w:unhideWhenUsed/>
    <w:qFormat/>
    <w:rsid w:val="0022704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GB" w:eastAsia="ja-JP"/>
    </w:rPr>
  </w:style>
  <w:style w:type="paragraph" w:styleId="Heading3">
    <w:name w:val="heading 3"/>
    <w:basedOn w:val="Normal"/>
    <w:next w:val="Normal"/>
    <w:link w:val="Heading3Char"/>
    <w:uiPriority w:val="9"/>
    <w:unhideWhenUsed/>
    <w:qFormat/>
    <w:rsid w:val="00227043"/>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link w:val="BodyTextChar"/>
    <w:pPr>
      <w:jc w:val="center"/>
    </w:pPr>
    <w:rPr>
      <w:b/>
      <w:sz w:val="40"/>
    </w:rPr>
  </w:style>
  <w:style w:type="paragraph" w:styleId="FootnoteText">
    <w:name w:val="footnote text"/>
    <w:basedOn w:val="Normal"/>
    <w:next w:val="TFReferencesSection"/>
    <w:link w:val="FootnoteTextChar"/>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uiPriority w:val="9"/>
    <w:rsid w:val="00227043"/>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227043"/>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227043"/>
    <w:rPr>
      <w:rFonts w:asciiTheme="majorHAnsi" w:eastAsiaTheme="majorEastAsia" w:hAnsiTheme="majorHAnsi" w:cstheme="majorBidi"/>
      <w:b/>
      <w:bCs/>
      <w:color w:val="4F81BD" w:themeColor="accent1"/>
      <w:sz w:val="22"/>
      <w:szCs w:val="22"/>
      <w:lang w:val="en-GB" w:eastAsia="ja-JP"/>
    </w:rPr>
  </w:style>
  <w:style w:type="paragraph" w:styleId="Title">
    <w:name w:val="Title"/>
    <w:basedOn w:val="Normal"/>
    <w:next w:val="Normal"/>
    <w:link w:val="TitleChar"/>
    <w:uiPriority w:val="10"/>
    <w:qFormat/>
    <w:rsid w:val="0022704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eChar">
    <w:name w:val="Title Char"/>
    <w:basedOn w:val="DefaultParagraphFont"/>
    <w:link w:val="Title"/>
    <w:uiPriority w:val="10"/>
    <w:rsid w:val="00227043"/>
    <w:rPr>
      <w:rFonts w:asciiTheme="majorHAnsi" w:eastAsiaTheme="majorEastAsia" w:hAnsiTheme="majorHAnsi" w:cstheme="majorBidi"/>
      <w:color w:val="17365D" w:themeColor="text2" w:themeShade="BF"/>
      <w:spacing w:val="5"/>
      <w:kern w:val="28"/>
      <w:sz w:val="52"/>
      <w:szCs w:val="52"/>
      <w:lang w:val="en-GB" w:eastAsia="ja-JP"/>
    </w:rPr>
  </w:style>
  <w:style w:type="table" w:styleId="TableGrid">
    <w:name w:val="Table Grid"/>
    <w:basedOn w:val="TableNormal"/>
    <w:uiPriority w:val="3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043"/>
    <w:rPr>
      <w:color w:val="808080"/>
    </w:rPr>
  </w:style>
  <w:style w:type="character" w:customStyle="1" w:styleId="BalloonTextChar">
    <w:name w:val="Balloon Text Char"/>
    <w:basedOn w:val="DefaultParagraphFont"/>
    <w:link w:val="BalloonText"/>
    <w:uiPriority w:val="99"/>
    <w:semiHidden/>
    <w:rsid w:val="00227043"/>
    <w:rPr>
      <w:rFonts w:ascii="Tahoma" w:hAnsi="Tahoma" w:cs="Tahoma"/>
      <w:sz w:val="16"/>
      <w:szCs w:val="16"/>
    </w:rPr>
  </w:style>
  <w:style w:type="paragraph" w:styleId="ListParagraph">
    <w:name w:val="List Paragraph"/>
    <w:basedOn w:val="Normal"/>
    <w:uiPriority w:val="34"/>
    <w:qFormat/>
    <w:rsid w:val="00227043"/>
    <w:pPr>
      <w:spacing w:line="276" w:lineRule="auto"/>
      <w:ind w:left="720"/>
      <w:contextualSpacing/>
      <w:jc w:val="left"/>
    </w:pPr>
    <w:rPr>
      <w:rFonts w:asciiTheme="minorHAnsi" w:hAnsiTheme="minorHAnsi" w:cstheme="minorBidi"/>
      <w:sz w:val="22"/>
      <w:szCs w:val="22"/>
      <w:lang w:val="en-GB" w:eastAsia="ja-JP"/>
    </w:rPr>
  </w:style>
  <w:style w:type="character" w:customStyle="1" w:styleId="gi">
    <w:name w:val="gi"/>
    <w:basedOn w:val="DefaultParagraphFont"/>
    <w:rsid w:val="00227043"/>
  </w:style>
  <w:style w:type="character" w:styleId="CommentReference">
    <w:name w:val="annotation reference"/>
    <w:basedOn w:val="DefaultParagraphFont"/>
    <w:uiPriority w:val="99"/>
    <w:unhideWhenUsed/>
    <w:rsid w:val="00227043"/>
    <w:rPr>
      <w:sz w:val="16"/>
      <w:szCs w:val="16"/>
    </w:rPr>
  </w:style>
  <w:style w:type="paragraph" w:styleId="CommentText">
    <w:name w:val="annotation text"/>
    <w:basedOn w:val="Normal"/>
    <w:link w:val="CommentTextChar"/>
    <w:uiPriority w:val="99"/>
    <w:unhideWhenUsed/>
    <w:rsid w:val="00227043"/>
    <w:pPr>
      <w:jc w:val="left"/>
    </w:pPr>
    <w:rPr>
      <w:rFonts w:asciiTheme="minorHAnsi" w:hAnsiTheme="minorHAnsi" w:cstheme="minorBidi"/>
      <w:sz w:val="20"/>
      <w:lang w:val="en-GB" w:eastAsia="ja-JP"/>
    </w:rPr>
  </w:style>
  <w:style w:type="character" w:customStyle="1" w:styleId="CommentTextChar">
    <w:name w:val="Comment Text Char"/>
    <w:basedOn w:val="DefaultParagraphFont"/>
    <w:link w:val="CommentText"/>
    <w:uiPriority w:val="99"/>
    <w:rsid w:val="00227043"/>
    <w:rPr>
      <w:rFonts w:asciiTheme="minorHAnsi" w:eastAsiaTheme="minorEastAsia" w:hAnsiTheme="minorHAnsi" w:cstheme="minorBidi"/>
      <w:lang w:val="en-GB" w:eastAsia="ja-JP"/>
    </w:rPr>
  </w:style>
  <w:style w:type="paragraph" w:styleId="CommentSubject">
    <w:name w:val="annotation subject"/>
    <w:basedOn w:val="CommentText"/>
    <w:next w:val="CommentText"/>
    <w:link w:val="CommentSubjectChar"/>
    <w:uiPriority w:val="99"/>
    <w:unhideWhenUsed/>
    <w:rsid w:val="00227043"/>
    <w:rPr>
      <w:b/>
      <w:bCs/>
    </w:rPr>
  </w:style>
  <w:style w:type="character" w:customStyle="1" w:styleId="CommentSubjectChar">
    <w:name w:val="Comment Subject Char"/>
    <w:basedOn w:val="CommentTextChar"/>
    <w:link w:val="CommentSubject"/>
    <w:uiPriority w:val="99"/>
    <w:rsid w:val="00227043"/>
    <w:rPr>
      <w:rFonts w:asciiTheme="minorHAnsi" w:eastAsiaTheme="minorEastAsia" w:hAnsiTheme="minorHAnsi" w:cstheme="minorBidi"/>
      <w:b/>
      <w:bCs/>
      <w:lang w:val="en-GB" w:eastAsia="ja-JP"/>
    </w:rPr>
  </w:style>
  <w:style w:type="paragraph" w:styleId="Header">
    <w:name w:val="header"/>
    <w:basedOn w:val="Normal"/>
    <w:link w:val="HeaderChar"/>
    <w:uiPriority w:val="99"/>
    <w:unhideWhenUsed/>
    <w:rsid w:val="00227043"/>
    <w:pPr>
      <w:tabs>
        <w:tab w:val="center" w:pos="4513"/>
        <w:tab w:val="right" w:pos="9026"/>
      </w:tabs>
      <w:spacing w:after="0"/>
      <w:jc w:val="left"/>
    </w:pPr>
    <w:rPr>
      <w:rFonts w:asciiTheme="minorHAnsi" w:hAnsiTheme="minorHAnsi" w:cstheme="minorBidi"/>
      <w:sz w:val="22"/>
      <w:szCs w:val="22"/>
      <w:lang w:val="en-GB" w:eastAsia="ja-JP"/>
    </w:rPr>
  </w:style>
  <w:style w:type="character" w:customStyle="1" w:styleId="HeaderChar">
    <w:name w:val="Header Char"/>
    <w:basedOn w:val="DefaultParagraphFont"/>
    <w:link w:val="Header"/>
    <w:uiPriority w:val="99"/>
    <w:rsid w:val="00227043"/>
    <w:rPr>
      <w:rFonts w:asciiTheme="minorHAnsi" w:eastAsiaTheme="minorEastAsia" w:hAnsiTheme="minorHAnsi" w:cstheme="minorBidi"/>
      <w:sz w:val="22"/>
      <w:szCs w:val="22"/>
      <w:lang w:val="en-GB" w:eastAsia="ja-JP"/>
    </w:rPr>
  </w:style>
  <w:style w:type="character" w:customStyle="1" w:styleId="FooterChar">
    <w:name w:val="Footer Char"/>
    <w:basedOn w:val="DefaultParagraphFont"/>
    <w:link w:val="Footer"/>
    <w:uiPriority w:val="99"/>
    <w:rsid w:val="00227043"/>
    <w:rPr>
      <w:rFonts w:ascii="Times" w:hAnsi="Times"/>
      <w:sz w:val="24"/>
    </w:rPr>
  </w:style>
  <w:style w:type="paragraph" w:customStyle="1" w:styleId="Eq">
    <w:name w:val="Eq"/>
    <w:basedOn w:val="Normal"/>
    <w:rsid w:val="00227043"/>
    <w:pPr>
      <w:spacing w:line="276" w:lineRule="auto"/>
      <w:jc w:val="left"/>
    </w:pPr>
    <w:rPr>
      <w:rFonts w:ascii="Cambria Math" w:hAnsi="Cambria Math" w:cstheme="minorBidi"/>
      <w:i/>
      <w:sz w:val="22"/>
      <w:szCs w:val="22"/>
      <w:lang w:val="en-GB" w:eastAsia="ja-JP"/>
    </w:rPr>
  </w:style>
  <w:style w:type="table" w:customStyle="1" w:styleId="TableGrid1">
    <w:name w:val="Table Grid1"/>
    <w:basedOn w:val="TableNormal"/>
    <w:next w:val="TableGrid"/>
    <w:uiPriority w:val="5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62B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47DF"/>
  </w:style>
  <w:style w:type="table" w:customStyle="1" w:styleId="TableGrid2">
    <w:name w:val="Table Grid2"/>
    <w:basedOn w:val="TableNormal"/>
    <w:next w:val="TableGrid"/>
    <w:uiPriority w:val="59"/>
    <w:rsid w:val="00DB47DF"/>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BodyCalibriAsianDejaVuSansKernat15pt">
    <w:name w:val="Style (Latin) +Body (Calibri) (Asian) DejaVu Sans Kern at 1.5 pt"/>
    <w:basedOn w:val="DefaultParagraphFont"/>
    <w:rsid w:val="00DB47DF"/>
    <w:rPr>
      <w:rFonts w:ascii="Times New Roman" w:eastAsia="DejaVu Sans" w:hAnsi="Times New Roman"/>
      <w:kern w:val="3"/>
    </w:rPr>
  </w:style>
  <w:style w:type="character" w:styleId="Strong">
    <w:name w:val="Strong"/>
    <w:basedOn w:val="DefaultParagraphFont"/>
    <w:qFormat/>
    <w:rsid w:val="00431DFD"/>
    <w:rPr>
      <w:b/>
      <w:bCs/>
    </w:rPr>
  </w:style>
  <w:style w:type="character" w:customStyle="1" w:styleId="FootnoteTextChar">
    <w:name w:val="Footnote Text Char"/>
    <w:basedOn w:val="DefaultParagraphFont"/>
    <w:link w:val="FootnoteText"/>
    <w:semiHidden/>
    <w:rsid w:val="00B116B8"/>
    <w:rPr>
      <w:rFonts w:ascii="Times" w:hAnsi="Times"/>
      <w:sz w:val="24"/>
    </w:rPr>
  </w:style>
  <w:style w:type="character" w:customStyle="1" w:styleId="BodyTextChar">
    <w:name w:val="Body Text Char"/>
    <w:basedOn w:val="DefaultParagraphFont"/>
    <w:link w:val="BodyText"/>
    <w:rsid w:val="00B116B8"/>
    <w:rPr>
      <w:rFonts w:ascii="Times" w:hAnsi="Times"/>
      <w:b/>
      <w:sz w:val="40"/>
    </w:rPr>
  </w:style>
  <w:style w:type="paragraph" w:customStyle="1" w:styleId="Heading11">
    <w:name w:val="Heading 11"/>
    <w:basedOn w:val="Normal"/>
    <w:next w:val="Normal"/>
    <w:uiPriority w:val="9"/>
    <w:qFormat/>
    <w:rsid w:val="00510078"/>
    <w:pPr>
      <w:keepNext/>
      <w:keepLines/>
      <w:spacing w:before="480" w:after="0" w:line="276" w:lineRule="auto"/>
      <w:jc w:val="left"/>
      <w:outlineLvl w:val="0"/>
    </w:pPr>
    <w:rPr>
      <w:rFonts w:ascii="Cambria" w:eastAsia="MS Gothic" w:hAnsi="Cambria"/>
      <w:b/>
      <w:bCs/>
      <w:color w:val="365F91"/>
      <w:sz w:val="28"/>
      <w:szCs w:val="28"/>
      <w:lang w:val="en-GB" w:eastAsia="ja-JP"/>
    </w:rPr>
  </w:style>
  <w:style w:type="paragraph" w:customStyle="1" w:styleId="Heading21">
    <w:name w:val="Heading 21"/>
    <w:basedOn w:val="Normal"/>
    <w:next w:val="Normal"/>
    <w:uiPriority w:val="9"/>
    <w:unhideWhenUsed/>
    <w:qFormat/>
    <w:rsid w:val="00510078"/>
    <w:pPr>
      <w:keepNext/>
      <w:keepLines/>
      <w:spacing w:before="200" w:after="0" w:line="276" w:lineRule="auto"/>
      <w:jc w:val="left"/>
      <w:outlineLvl w:val="1"/>
    </w:pPr>
    <w:rPr>
      <w:rFonts w:ascii="Cambria" w:eastAsia="MS Gothic" w:hAnsi="Cambria"/>
      <w:b/>
      <w:bCs/>
      <w:color w:val="4F81BD"/>
      <w:sz w:val="26"/>
      <w:szCs w:val="26"/>
      <w:lang w:val="en-GB" w:eastAsia="ja-JP"/>
    </w:rPr>
  </w:style>
  <w:style w:type="paragraph" w:customStyle="1" w:styleId="Heading31">
    <w:name w:val="Heading 31"/>
    <w:basedOn w:val="Normal"/>
    <w:next w:val="Normal"/>
    <w:uiPriority w:val="9"/>
    <w:unhideWhenUsed/>
    <w:qFormat/>
    <w:rsid w:val="00510078"/>
    <w:pPr>
      <w:keepNext/>
      <w:keepLines/>
      <w:spacing w:before="200" w:after="0" w:line="276" w:lineRule="auto"/>
      <w:jc w:val="left"/>
      <w:outlineLvl w:val="2"/>
    </w:pPr>
    <w:rPr>
      <w:rFonts w:ascii="Cambria" w:eastAsia="MS Gothic" w:hAnsi="Cambria"/>
      <w:b/>
      <w:bCs/>
      <w:color w:val="4F81BD"/>
      <w:sz w:val="22"/>
      <w:szCs w:val="22"/>
      <w:lang w:val="en-GB" w:eastAsia="ja-JP"/>
    </w:rPr>
  </w:style>
  <w:style w:type="paragraph" w:customStyle="1" w:styleId="Title1">
    <w:name w:val="Title1"/>
    <w:basedOn w:val="Normal"/>
    <w:next w:val="Normal"/>
    <w:uiPriority w:val="10"/>
    <w:qFormat/>
    <w:rsid w:val="00510078"/>
    <w:pPr>
      <w:pBdr>
        <w:bottom w:val="single" w:sz="8" w:space="4" w:color="4F81BD"/>
      </w:pBdr>
      <w:spacing w:after="300"/>
      <w:contextualSpacing/>
      <w:jc w:val="left"/>
    </w:pPr>
    <w:rPr>
      <w:rFonts w:ascii="Cambria" w:eastAsia="MS Gothic" w:hAnsi="Cambria"/>
      <w:color w:val="17365D"/>
      <w:spacing w:val="5"/>
      <w:kern w:val="28"/>
      <w:sz w:val="52"/>
      <w:szCs w:val="52"/>
      <w:lang w:val="en-GB" w:eastAsia="ja-JP"/>
    </w:rPr>
  </w:style>
  <w:style w:type="paragraph" w:customStyle="1" w:styleId="ListParagraph1">
    <w:name w:val="List Paragraph1"/>
    <w:basedOn w:val="Normal"/>
    <w:next w:val="ListParagraph"/>
    <w:uiPriority w:val="34"/>
    <w:qFormat/>
    <w:rsid w:val="00510078"/>
    <w:pPr>
      <w:spacing w:line="276" w:lineRule="auto"/>
      <w:ind w:left="720"/>
      <w:contextualSpacing/>
      <w:jc w:val="left"/>
    </w:pPr>
    <w:rPr>
      <w:rFonts w:asciiTheme="minorHAnsi" w:hAnsiTheme="minorHAnsi" w:cstheme="minorBidi"/>
      <w:sz w:val="22"/>
      <w:szCs w:val="22"/>
      <w:lang w:val="en-GB" w:eastAsia="ja-JP"/>
    </w:rPr>
  </w:style>
  <w:style w:type="paragraph" w:customStyle="1" w:styleId="CommentText1">
    <w:name w:val="Comment Text1"/>
    <w:basedOn w:val="Normal"/>
    <w:next w:val="CommentText"/>
    <w:uiPriority w:val="99"/>
    <w:unhideWhenUsed/>
    <w:rsid w:val="00510078"/>
    <w:pPr>
      <w:jc w:val="left"/>
    </w:pPr>
    <w:rPr>
      <w:rFonts w:ascii="Calibri" w:eastAsia="MS Mincho" w:hAnsi="Calibri"/>
      <w:sz w:val="22"/>
      <w:szCs w:val="22"/>
      <w:lang w:val="en-GB" w:eastAsia="ja-JP"/>
    </w:rPr>
  </w:style>
  <w:style w:type="character" w:customStyle="1" w:styleId="CommentTextChar1">
    <w:name w:val="Comment Text Char1"/>
    <w:basedOn w:val="DefaultParagraphFont"/>
    <w:uiPriority w:val="99"/>
    <w:semiHidden/>
    <w:rsid w:val="00510078"/>
    <w:rPr>
      <w:sz w:val="20"/>
      <w:szCs w:val="20"/>
    </w:rPr>
  </w:style>
  <w:style w:type="paragraph" w:customStyle="1" w:styleId="Header1">
    <w:name w:val="Header1"/>
    <w:basedOn w:val="Normal"/>
    <w:next w:val="Header"/>
    <w:uiPriority w:val="99"/>
    <w:unhideWhenUsed/>
    <w:rsid w:val="00510078"/>
    <w:pPr>
      <w:tabs>
        <w:tab w:val="center" w:pos="4513"/>
        <w:tab w:val="right" w:pos="9026"/>
      </w:tabs>
      <w:spacing w:after="0"/>
      <w:jc w:val="left"/>
    </w:pPr>
    <w:rPr>
      <w:rFonts w:ascii="Calibri" w:eastAsia="MS Mincho" w:hAnsi="Calibri"/>
      <w:sz w:val="22"/>
      <w:szCs w:val="22"/>
      <w:lang w:val="en-GB" w:eastAsia="ja-JP"/>
    </w:rPr>
  </w:style>
  <w:style w:type="numbering" w:customStyle="1" w:styleId="NoList11">
    <w:name w:val="No List11"/>
    <w:next w:val="NoList"/>
    <w:uiPriority w:val="99"/>
    <w:semiHidden/>
    <w:unhideWhenUsed/>
    <w:rsid w:val="00510078"/>
  </w:style>
  <w:style w:type="character" w:customStyle="1" w:styleId="Heading1Char1">
    <w:name w:val="Heading 1 Char1"/>
    <w:basedOn w:val="DefaultParagraphFont"/>
    <w:uiPriority w:val="9"/>
    <w:rsid w:val="00510078"/>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510078"/>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510078"/>
    <w:rPr>
      <w:rFonts w:asciiTheme="majorHAnsi" w:eastAsiaTheme="majorEastAsia" w:hAnsiTheme="majorHAnsi" w:cstheme="majorBidi"/>
      <w:color w:val="243F60" w:themeColor="accent1" w:themeShade="7F"/>
      <w:sz w:val="24"/>
      <w:szCs w:val="24"/>
    </w:rPr>
  </w:style>
  <w:style w:type="character" w:customStyle="1" w:styleId="TitleChar1">
    <w:name w:val="Title Char1"/>
    <w:basedOn w:val="DefaultParagraphFont"/>
    <w:uiPriority w:val="10"/>
    <w:rsid w:val="00510078"/>
    <w:rPr>
      <w:rFonts w:asciiTheme="majorHAnsi" w:eastAsiaTheme="majorEastAsia" w:hAnsiTheme="majorHAnsi" w:cstheme="majorBidi"/>
      <w:spacing w:val="-10"/>
      <w:kern w:val="28"/>
      <w:sz w:val="56"/>
      <w:szCs w:val="56"/>
    </w:rPr>
  </w:style>
  <w:style w:type="character" w:customStyle="1" w:styleId="HeaderChar1">
    <w:name w:val="Header Char1"/>
    <w:basedOn w:val="DefaultParagraphFont"/>
    <w:uiPriority w:val="99"/>
    <w:semiHidden/>
    <w:rsid w:val="00510078"/>
  </w:style>
  <w:style w:type="numbering" w:customStyle="1" w:styleId="NoList2">
    <w:name w:val="No List2"/>
    <w:next w:val="NoList"/>
    <w:uiPriority w:val="99"/>
    <w:semiHidden/>
    <w:unhideWhenUsed/>
    <w:rsid w:val="008D6060"/>
  </w:style>
  <w:style w:type="table" w:customStyle="1" w:styleId="TableGrid3">
    <w:name w:val="Table Grid3"/>
    <w:basedOn w:val="TableNormal"/>
    <w:next w:val="TableGrid"/>
    <w:uiPriority w:val="39"/>
    <w:rsid w:val="008D6060"/>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D6060"/>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D6060"/>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D6060"/>
  </w:style>
  <w:style w:type="table" w:customStyle="1" w:styleId="TableGrid21">
    <w:name w:val="Table Grid21"/>
    <w:basedOn w:val="TableNormal"/>
    <w:next w:val="TableGrid"/>
    <w:uiPriority w:val="59"/>
    <w:rsid w:val="008D6060"/>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D6060"/>
  </w:style>
  <w:style w:type="character" w:styleId="LineNumber">
    <w:name w:val="line number"/>
    <w:basedOn w:val="DefaultParagraphFont"/>
    <w:semiHidden/>
    <w:unhideWhenUsed/>
    <w:rsid w:val="00233278"/>
  </w:style>
  <w:style w:type="numbering" w:customStyle="1" w:styleId="NoList3">
    <w:name w:val="No List3"/>
    <w:next w:val="NoList"/>
    <w:uiPriority w:val="99"/>
    <w:semiHidden/>
    <w:unhideWhenUsed/>
    <w:rsid w:val="0023078E"/>
  </w:style>
  <w:style w:type="table" w:customStyle="1" w:styleId="TableGrid4">
    <w:name w:val="Table Grid4"/>
    <w:basedOn w:val="TableNormal"/>
    <w:next w:val="TableGrid"/>
    <w:uiPriority w:val="59"/>
    <w:rsid w:val="0023078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3078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23078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3078E"/>
  </w:style>
  <w:style w:type="table" w:customStyle="1" w:styleId="TableGrid22">
    <w:name w:val="Table Grid22"/>
    <w:basedOn w:val="TableNormal"/>
    <w:next w:val="TableGrid"/>
    <w:uiPriority w:val="59"/>
    <w:rsid w:val="0023078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6D15"/>
  </w:style>
  <w:style w:type="paragraph" w:styleId="NormalWeb">
    <w:name w:val="Normal (Web)"/>
    <w:basedOn w:val="Normal"/>
    <w:uiPriority w:val="99"/>
    <w:semiHidden/>
    <w:unhideWhenUsed/>
    <w:rsid w:val="006A6D15"/>
    <w:pPr>
      <w:spacing w:before="100" w:beforeAutospacing="1" w:after="100" w:afterAutospacing="1"/>
      <w:jc w:val="left"/>
    </w:pPr>
    <w:rPr>
      <w:rFonts w:ascii="Times New Roman" w:hAnsi="Times New Roman"/>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56985">
      <w:bodyDiv w:val="1"/>
      <w:marLeft w:val="0"/>
      <w:marRight w:val="0"/>
      <w:marTop w:val="0"/>
      <w:marBottom w:val="0"/>
      <w:divBdr>
        <w:top w:val="none" w:sz="0" w:space="0" w:color="auto"/>
        <w:left w:val="none" w:sz="0" w:space="0" w:color="auto"/>
        <w:bottom w:val="none" w:sz="0" w:space="0" w:color="auto"/>
        <w:right w:val="none" w:sz="0" w:space="0" w:color="auto"/>
      </w:divBdr>
    </w:div>
    <w:div w:id="682896319">
      <w:bodyDiv w:val="1"/>
      <w:marLeft w:val="0"/>
      <w:marRight w:val="0"/>
      <w:marTop w:val="0"/>
      <w:marBottom w:val="0"/>
      <w:divBdr>
        <w:top w:val="none" w:sz="0" w:space="0" w:color="auto"/>
        <w:left w:val="none" w:sz="0" w:space="0" w:color="auto"/>
        <w:bottom w:val="none" w:sz="0" w:space="0" w:color="auto"/>
        <w:right w:val="none" w:sz="0" w:space="0" w:color="auto"/>
      </w:divBdr>
    </w:div>
    <w:div w:id="1481120113">
      <w:bodyDiv w:val="1"/>
      <w:marLeft w:val="0"/>
      <w:marRight w:val="0"/>
      <w:marTop w:val="0"/>
      <w:marBottom w:val="0"/>
      <w:divBdr>
        <w:top w:val="none" w:sz="0" w:space="0" w:color="auto"/>
        <w:left w:val="none" w:sz="0" w:space="0" w:color="auto"/>
        <w:bottom w:val="none" w:sz="0" w:space="0" w:color="auto"/>
        <w:right w:val="none" w:sz="0" w:space="0" w:color="auto"/>
      </w:divBdr>
    </w:div>
    <w:div w:id="1724062255">
      <w:bodyDiv w:val="1"/>
      <w:marLeft w:val="0"/>
      <w:marRight w:val="0"/>
      <w:marTop w:val="0"/>
      <w:marBottom w:val="0"/>
      <w:divBdr>
        <w:top w:val="none" w:sz="0" w:space="0" w:color="auto"/>
        <w:left w:val="none" w:sz="0" w:space="0" w:color="auto"/>
        <w:bottom w:val="none" w:sz="0" w:space="0" w:color="auto"/>
        <w:right w:val="none" w:sz="0" w:space="0" w:color="auto"/>
      </w:divBdr>
      <w:divsChild>
        <w:div w:id="1318529539">
          <w:marLeft w:val="0"/>
          <w:marRight w:val="0"/>
          <w:marTop w:val="0"/>
          <w:marBottom w:val="0"/>
          <w:divBdr>
            <w:top w:val="none" w:sz="0" w:space="0" w:color="auto"/>
            <w:left w:val="none" w:sz="0" w:space="0" w:color="auto"/>
            <w:bottom w:val="none" w:sz="0" w:space="0" w:color="auto"/>
            <w:right w:val="none" w:sz="0" w:space="0" w:color="auto"/>
          </w:divBdr>
        </w:div>
        <w:div w:id="976952256">
          <w:marLeft w:val="0"/>
          <w:marRight w:val="0"/>
          <w:marTop w:val="0"/>
          <w:marBottom w:val="0"/>
          <w:divBdr>
            <w:top w:val="none" w:sz="0" w:space="0" w:color="auto"/>
            <w:left w:val="none" w:sz="0" w:space="0" w:color="auto"/>
            <w:bottom w:val="none" w:sz="0" w:space="0" w:color="auto"/>
            <w:right w:val="none" w:sz="0" w:space="0" w:color="auto"/>
          </w:divBdr>
        </w:div>
        <w:div w:id="752969079">
          <w:marLeft w:val="0"/>
          <w:marRight w:val="0"/>
          <w:marTop w:val="0"/>
          <w:marBottom w:val="0"/>
          <w:divBdr>
            <w:top w:val="none" w:sz="0" w:space="0" w:color="auto"/>
            <w:left w:val="none" w:sz="0" w:space="0" w:color="auto"/>
            <w:bottom w:val="none" w:sz="0" w:space="0" w:color="auto"/>
            <w:right w:val="none" w:sz="0" w:space="0" w:color="auto"/>
          </w:divBdr>
        </w:div>
        <w:div w:id="968392476">
          <w:marLeft w:val="0"/>
          <w:marRight w:val="0"/>
          <w:marTop w:val="0"/>
          <w:marBottom w:val="0"/>
          <w:divBdr>
            <w:top w:val="none" w:sz="0" w:space="0" w:color="auto"/>
            <w:left w:val="none" w:sz="0" w:space="0" w:color="auto"/>
            <w:bottom w:val="none" w:sz="0" w:space="0" w:color="auto"/>
            <w:right w:val="none" w:sz="0" w:space="0" w:color="auto"/>
          </w:divBdr>
        </w:div>
        <w:div w:id="205438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eishi.shimizu@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D528B-029C-4A96-B8B9-1C9A015635D3}">
  <ds:schemaRefs>
    <ds:schemaRef ds:uri="http://schemas.openxmlformats.org/officeDocument/2006/bibliography"/>
  </ds:schemaRefs>
</ds:datastoreItem>
</file>

<file path=customXml/itemProps2.xml><?xml version="1.0" encoding="utf-8"?>
<ds:datastoreItem xmlns:ds="http://schemas.openxmlformats.org/officeDocument/2006/customXml" ds:itemID="{D6554C33-EF88-43BB-BAF4-270A426F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70147</Words>
  <Characters>399843</Characters>
  <Application>Microsoft Office Word</Application>
  <DocSecurity>0</DocSecurity>
  <Lines>3332</Lines>
  <Paragraphs>938</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469052</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Seishi Shimizu</dc:creator>
  <cp:lastModifiedBy>Seishi Shimizu</cp:lastModifiedBy>
  <cp:revision>3</cp:revision>
  <cp:lastPrinted>2017-03-22T17:03:00Z</cp:lastPrinted>
  <dcterms:created xsi:type="dcterms:W3CDTF">2017-04-25T12:15:00Z</dcterms:created>
  <dcterms:modified xsi:type="dcterms:W3CDTF">2017-04-25T12:16:00Z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http://www.zotero.org/styles/biochemistry</vt:lpwstr>
  </property>
  <property fmtid="{D5CDD505-2E9C-101B-9397-08002B2CF9AE}" pid="9" name="Mendeley Recent Style Name 3_1">
    <vt:lpwstr>Biochemistry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http://www.zotero.org/styles/food-and-function</vt:lpwstr>
  </property>
  <property fmtid="{D5CDD505-2E9C-101B-9397-08002B2CF9AE}" pid="13" name="Mendeley Recent Style Name 5_1">
    <vt:lpwstr>Food &amp; Function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http://www.zotero.org/styles/physical-chemistry-chemical-physics</vt:lpwstr>
  </property>
  <property fmtid="{D5CDD505-2E9C-101B-9397-08002B2CF9AE}" pid="17" name="Mendeley Recent Style Name 7_1">
    <vt:lpwstr>Physical Chemistry Chemical Physics</vt:lpwstr>
  </property>
  <property fmtid="{D5CDD505-2E9C-101B-9397-08002B2CF9AE}" pid="18" name="Mendeley Recent Style Id 8_1">
    <vt:lpwstr>http://www.zotero.org/styles/royal-society-of-chemistry</vt:lpwstr>
  </property>
  <property fmtid="{D5CDD505-2E9C-101B-9397-08002B2CF9AE}" pid="19" name="Mendeley Recent Style Name 8_1">
    <vt:lpwstr>Royal Society of Chemistry</vt:lpwstr>
  </property>
  <property fmtid="{D5CDD505-2E9C-101B-9397-08002B2CF9AE}" pid="20" name="Mendeley Recent Style Id 9_1">
    <vt:lpwstr>http://www.zotero.org/styles/soft-matter</vt:lpwstr>
  </property>
  <property fmtid="{D5CDD505-2E9C-101B-9397-08002B2CF9AE}" pid="21" name="Mendeley Recent Style Name 9_1">
    <vt:lpwstr>Soft Matter</vt:lpwstr>
  </property>
  <property fmtid="{D5CDD505-2E9C-101B-9397-08002B2CF9AE}" pid="22" name="Mendeley Document_1">
    <vt:lpwstr>True</vt:lpwstr>
  </property>
  <property fmtid="{D5CDD505-2E9C-101B-9397-08002B2CF9AE}" pid="23" name="Mendeley Unique User Id_1">
    <vt:lpwstr>8d6d7467-07b8-30c7-908e-175b6e68505e</vt:lpwstr>
  </property>
  <property fmtid="{D5CDD505-2E9C-101B-9397-08002B2CF9AE}" pid="24" name="Mendeley Citation Style_1">
    <vt:lpwstr>http://www.zotero.org/styles/physical-chemistry-chemical-physics</vt:lpwstr>
  </property>
</Properties>
</file>