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797" w:rsidRPr="00AB3E36" w:rsidRDefault="00416797" w:rsidP="00AB3E3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B3E36">
        <w:rPr>
          <w:rFonts w:ascii="Times New Roman" w:hAnsi="Times New Roman" w:cs="Times New Roman"/>
          <w:b/>
          <w:sz w:val="24"/>
          <w:szCs w:val="24"/>
          <w:lang w:val="en-US"/>
        </w:rPr>
        <w:t>Provenance of marbles used f</w:t>
      </w:r>
      <w:r w:rsidRPr="00AB3E36">
        <w:rPr>
          <w:rFonts w:ascii="Times New Roman" w:hAnsi="Times New Roman" w:cs="Times New Roman"/>
          <w:b/>
          <w:sz w:val="24"/>
          <w:szCs w:val="24"/>
          <w:lang w:val="en-US"/>
        </w:rPr>
        <w:t xml:space="preserve">or building the internal spiral </w:t>
      </w:r>
      <w:r w:rsidRPr="00AB3E36">
        <w:rPr>
          <w:rFonts w:ascii="Times New Roman" w:hAnsi="Times New Roman" w:cs="Times New Roman"/>
          <w:b/>
          <w:sz w:val="24"/>
          <w:szCs w:val="24"/>
          <w:lang w:val="en-US"/>
        </w:rPr>
        <w:t>staircase of the bell tower of St. Nicholas Church (Pisa, Italy)</w:t>
      </w:r>
    </w:p>
    <w:p w:rsidR="00416797" w:rsidRPr="00416797" w:rsidRDefault="00416797" w:rsidP="00AB3E36">
      <w:pPr>
        <w:jc w:val="both"/>
        <w:rPr>
          <w:sz w:val="24"/>
          <w:szCs w:val="24"/>
          <w:lang w:val="en-US"/>
        </w:rPr>
      </w:pPr>
    </w:p>
    <w:p w:rsidR="00416797" w:rsidRPr="00416797" w:rsidRDefault="00416797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6797" w:rsidRDefault="00416797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416797">
        <w:rPr>
          <w:rFonts w:ascii="Times New Roman" w:hAnsi="Times New Roman" w:cs="Times New Roman"/>
          <w:sz w:val="24"/>
          <w:szCs w:val="24"/>
        </w:rPr>
        <w:t>Marco Lezzerini</w:t>
      </w:r>
      <w:r w:rsidRPr="00416797">
        <w:rPr>
          <w:rFonts w:ascii="Times New Roman" w:hAnsi="Times New Roman" w:cs="Times New Roman"/>
          <w:sz w:val="24"/>
          <w:szCs w:val="24"/>
          <w:vertAlign w:val="superscript"/>
        </w:rPr>
        <w:t>1,4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416797">
        <w:rPr>
          <w:rFonts w:ascii="Times New Roman" w:hAnsi="Times New Roman" w:cs="Times New Roman"/>
          <w:sz w:val="24"/>
          <w:szCs w:val="24"/>
        </w:rPr>
        <w:t xml:space="preserve"> • Fabrizio Antonelli</w:t>
      </w:r>
      <w:r w:rsidRPr="004167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16797">
        <w:rPr>
          <w:rFonts w:ascii="Times New Roman" w:hAnsi="Times New Roman" w:cs="Times New Roman"/>
          <w:sz w:val="24"/>
          <w:szCs w:val="24"/>
        </w:rPr>
        <w:t xml:space="preserve"> • Gianni Gallello</w:t>
      </w:r>
      <w:r w:rsidRPr="0041679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16797">
        <w:rPr>
          <w:rFonts w:ascii="Times New Roman" w:hAnsi="Times New Roman" w:cs="Times New Roman"/>
          <w:sz w:val="24"/>
          <w:szCs w:val="24"/>
        </w:rPr>
        <w:t xml:space="preserve"> • Mirco Ramacciotti</w:t>
      </w:r>
      <w:r w:rsidRPr="0041679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16797">
        <w:rPr>
          <w:rFonts w:ascii="Times New Roman" w:hAnsi="Times New Roman" w:cs="Times New Roman"/>
          <w:sz w:val="24"/>
          <w:szCs w:val="24"/>
        </w:rPr>
        <w:t xml:space="preserve"> •</w:t>
      </w:r>
      <w:r w:rsidRPr="00416797">
        <w:rPr>
          <w:rFonts w:ascii="Times New Roman" w:hAnsi="Times New Roman" w:cs="Times New Roman"/>
          <w:sz w:val="24"/>
          <w:szCs w:val="24"/>
        </w:rPr>
        <w:t>Luca Parodi</w:t>
      </w:r>
      <w:r w:rsidRPr="0041679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16797">
        <w:rPr>
          <w:rFonts w:ascii="Times New Roman" w:hAnsi="Times New Roman" w:cs="Times New Roman"/>
          <w:sz w:val="24"/>
          <w:szCs w:val="24"/>
        </w:rPr>
        <w:t xml:space="preserve"> • Antonio Alberti</w:t>
      </w:r>
      <w:r w:rsidRPr="0041679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16797">
        <w:rPr>
          <w:rFonts w:ascii="Times New Roman" w:hAnsi="Times New Roman" w:cs="Times New Roman"/>
          <w:sz w:val="24"/>
          <w:szCs w:val="24"/>
        </w:rPr>
        <w:t xml:space="preserve"> • Stefano P</w:t>
      </w:r>
      <w:r w:rsidRPr="00416797">
        <w:rPr>
          <w:rFonts w:ascii="Times New Roman" w:hAnsi="Times New Roman" w:cs="Times New Roman"/>
          <w:sz w:val="24"/>
          <w:szCs w:val="24"/>
        </w:rPr>
        <w:t>agnotta</w:t>
      </w:r>
      <w:r w:rsidRPr="0041679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16797">
        <w:rPr>
          <w:rFonts w:ascii="Times New Roman" w:hAnsi="Times New Roman" w:cs="Times New Roman"/>
          <w:sz w:val="24"/>
          <w:szCs w:val="24"/>
        </w:rPr>
        <w:t xml:space="preserve"> • Stefano Legnaioli</w:t>
      </w:r>
      <w:r w:rsidRPr="0041679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416797">
        <w:rPr>
          <w:rFonts w:ascii="Times New Roman" w:hAnsi="Times New Roman" w:cs="Times New Roman"/>
          <w:sz w:val="24"/>
          <w:szCs w:val="24"/>
        </w:rPr>
        <w:t xml:space="preserve"> •</w:t>
      </w:r>
      <w:r w:rsidRPr="00416797">
        <w:rPr>
          <w:rFonts w:ascii="Times New Roman" w:hAnsi="Times New Roman" w:cs="Times New Roman"/>
          <w:sz w:val="24"/>
          <w:szCs w:val="24"/>
        </w:rPr>
        <w:t>Vincenzo Palleschi</w:t>
      </w:r>
      <w:r w:rsidRPr="00416797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:rsidR="00416797" w:rsidRDefault="00416797" w:rsidP="00AB3E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6797" w:rsidRPr="00416797" w:rsidRDefault="00416797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679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 Department of Earth Scien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ces, University of Pisa, Via S.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Maria 53, 56126 Pisa, Italy</w:t>
      </w:r>
    </w:p>
    <w:p w:rsidR="00416797" w:rsidRPr="00416797" w:rsidRDefault="00416797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679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16797">
        <w:rPr>
          <w:rFonts w:ascii="Times New Roman" w:hAnsi="Times New Roman" w:cs="Times New Roman"/>
          <w:sz w:val="24"/>
          <w:szCs w:val="24"/>
          <w:lang w:val="en-US"/>
        </w:rPr>
        <w:t>LAMA</w:t>
      </w:r>
      <w:proofErr w:type="gramEnd"/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 – Laboratory for Ana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lysis of the Ancient Materials,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DACC, University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Iuav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of Venice, San Polo, 2468,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30125 Venice, Italy</w:t>
      </w:r>
    </w:p>
    <w:p w:rsidR="00416797" w:rsidRPr="00416797" w:rsidRDefault="00416797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679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 Department of Analytical Chemistry, 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niversity of Valencia,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50 Dr.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Moliner</w:t>
      </w:r>
      <w:proofErr w:type="spellEnd"/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 Street, 46100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Burjassot</w:t>
      </w:r>
      <w:proofErr w:type="spellEnd"/>
      <w:r w:rsidRPr="00416797">
        <w:rPr>
          <w:rFonts w:ascii="Times New Roman" w:hAnsi="Times New Roman" w:cs="Times New Roman"/>
          <w:sz w:val="24"/>
          <w:szCs w:val="24"/>
          <w:lang w:val="en-US"/>
        </w:rPr>
        <w:t>, Valencia, Spain</w:t>
      </w:r>
    </w:p>
    <w:p w:rsidR="00416797" w:rsidRDefault="00416797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679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 Applied and Laser Spect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roscopy Lab., ICCOM-CNR, Via G. </w:t>
      </w:r>
      <w:r w:rsidRPr="00416797">
        <w:rPr>
          <w:rFonts w:ascii="Times New Roman" w:hAnsi="Times New Roman" w:cs="Times New Roman"/>
          <w:sz w:val="24"/>
          <w:szCs w:val="24"/>
        </w:rPr>
        <w:t>Moruzzi 1, 56124 Pisa, Italy</w:t>
      </w:r>
    </w:p>
    <w:p w:rsidR="00416797" w:rsidRPr="00416797" w:rsidRDefault="00416797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6797" w:rsidRDefault="00416797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6797" w:rsidRPr="00416797" w:rsidRDefault="00416797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Corresponding Author: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Marco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Lezzerini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*</w:t>
      </w:r>
    </w:p>
    <w:p w:rsidR="00416797" w:rsidRDefault="00416797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Email: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marco.lezzerini@unipi.it</w:t>
      </w:r>
    </w:p>
    <w:p w:rsidR="00416797" w:rsidRDefault="00416797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6797" w:rsidRDefault="00416797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6797">
        <w:rPr>
          <w:rFonts w:ascii="Times New Roman" w:hAnsi="Times New Roman" w:cs="Times New Roman"/>
          <w:b/>
          <w:sz w:val="24"/>
          <w:szCs w:val="24"/>
          <w:lang w:val="en-US"/>
        </w:rPr>
        <w:t>Abstract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16797" w:rsidRDefault="00416797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6797">
        <w:rPr>
          <w:rFonts w:ascii="Times New Roman" w:hAnsi="Times New Roman" w:cs="Times New Roman"/>
          <w:sz w:val="24"/>
          <w:szCs w:val="24"/>
          <w:lang w:val="en-US"/>
        </w:rPr>
        <w:lastRenderedPageBreak/>
        <w:t>The aim of this study is to investigate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provenance of marbles used as architectural elements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(bases, shafts and capita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ls of columns) for building the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internal spiral staircase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medieval bell tower of St.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Nicholas Church at Pisa, Italy. Accordingly, the 45 collected marble sample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 have been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analysed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by optical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microscopy, X-ray powder diffraction and mass spectroscopy for carbon and oxygen stable isotope ratio analysis; additiona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lly, SEM–EDS analysis have been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performed to complement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data about accessory minerals.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By comparison with literat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ure data on the main sources of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the white Mediterranean mar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bles used in ancient times, the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results show that the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an</w:t>
      </w:r>
      <w:r>
        <w:rPr>
          <w:rFonts w:ascii="Times New Roman" w:hAnsi="Times New Roman" w:cs="Times New Roman"/>
          <w:sz w:val="24"/>
          <w:szCs w:val="24"/>
          <w:lang w:val="en-US"/>
        </w:rPr>
        <w:t>alysed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samples are mainly white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crystalline marbles from Carr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ara (Italy) and, subordinately,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from other Tuscan and Eastern 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editerranean quarrying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areas. In fact, Mt. Pisa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no and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Campiglia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M.ma (Tuscany,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Italy) and Marmara (Turk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ey), Paros, Mt.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Penteli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Thasos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(Greece) are minor sou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rces. The other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coloured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stones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identified on the strength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their macroscopic features are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quartzites</w:t>
      </w:r>
      <w:proofErr w:type="spellEnd"/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 from Mt. Pisano area and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granitoids</w:t>
      </w:r>
      <w:proofErr w:type="spellEnd"/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 from Sardinia and Island of Elba (Italy). Occasionally, a very limited number of architectonical elements made up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Acquabona</w:t>
      </w:r>
      <w:proofErr w:type="spellEnd"/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 limestone fro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Rosignano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Marittimo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Livorno,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Italy</w:t>
      </w:r>
      <w:proofErr w:type="spellEnd"/>
      <w:r w:rsidRPr="00416797">
        <w:rPr>
          <w:rFonts w:ascii="Times New Roman" w:hAnsi="Times New Roman" w:cs="Times New Roman"/>
          <w:sz w:val="24"/>
          <w:szCs w:val="24"/>
          <w:lang w:val="en-US"/>
        </w:rPr>
        <w:t>), red limestone with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mmonites (the so-called ‘‘Rosso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Ammonitico</w:t>
      </w:r>
      <w:proofErr w:type="spellEnd"/>
      <w:r w:rsidRPr="00416797">
        <w:rPr>
          <w:rFonts w:ascii="Times New Roman" w:hAnsi="Times New Roman" w:cs="Times New Roman"/>
          <w:sz w:val="24"/>
          <w:szCs w:val="24"/>
          <w:lang w:val="en-US"/>
        </w:rPr>
        <w:t>’’) and black limestone belonging to the Tuscan Nappe sequence, outc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ropping at northwest of Pisa in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the nearby Monti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d’Oltre</w:t>
      </w:r>
      <w:proofErr w:type="spellEnd"/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Serchio</w:t>
      </w:r>
      <w:proofErr w:type="spellEnd"/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 area, are present.</w:t>
      </w:r>
    </w:p>
    <w:p w:rsidR="00416797" w:rsidRDefault="00416797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16797" w:rsidRPr="00416797" w:rsidRDefault="00416797" w:rsidP="00AB3E3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16797">
        <w:rPr>
          <w:rFonts w:ascii="Times New Roman" w:hAnsi="Times New Roman" w:cs="Times New Roman"/>
          <w:b/>
          <w:sz w:val="24"/>
          <w:szCs w:val="24"/>
          <w:lang w:val="en-US"/>
        </w:rPr>
        <w:t>1 Introduction</w:t>
      </w:r>
    </w:p>
    <w:p w:rsidR="00BE5723" w:rsidRDefault="00416797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6797">
        <w:rPr>
          <w:rFonts w:ascii="Times New Roman" w:hAnsi="Times New Roman" w:cs="Times New Roman"/>
          <w:sz w:val="24"/>
          <w:szCs w:val="24"/>
          <w:lang w:val="en-US"/>
        </w:rPr>
        <w:t>Since ancient times, ma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rble was used for its beauty in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architecture and sculpture, extracting it from historic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al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quarries opened in the Med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iterranean area [1–3]. With the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aim of collecting and providing useful discriminative criteria for the most relevant marbles used in antiquity, several authors have proposed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multiple analytical approaches,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including the critical comparison among different diagnostic features, such as petrographic fabric [4–6], geochemical data [7], access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ory minerals [8], isotopic data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[4, 9–12]. Within the 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ramework of a multidisciplinary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study in the field of art history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nd restoration of the St.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Nicholas church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—promoted by 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Soprintendenza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Archeologia</w:t>
      </w:r>
      <w:proofErr w:type="spellEnd"/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, Belle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Arti</w:t>
      </w:r>
      <w:proofErr w:type="spellEnd"/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 e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Pa</w:t>
      </w:r>
      <w:r>
        <w:rPr>
          <w:rFonts w:ascii="Times New Roman" w:hAnsi="Times New Roman" w:cs="Times New Roman"/>
          <w:sz w:val="24"/>
          <w:szCs w:val="24"/>
          <w:lang w:val="en-US"/>
        </w:rPr>
        <w:t>esaggio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per le province di Pisa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e Livorno, the Depa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rtment of Earth Sciences at the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University of Pisa was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entrusted with a comprehensive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characterization of the buildi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ng materials, including stones,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marbles and mortars used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for building the church and its bell tower [13, 14].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The first documentary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attestation of the St. Nicholas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church as a dependence in Pisa of the Benedictine monastery of San Michele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alla</w:t>
      </w:r>
      <w:proofErr w:type="spellEnd"/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Verruca dates from June 17th,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1097 [15]. Likewise,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first evidence of the monastery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adjacent to the St. Nicholas 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hurch is contained in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cartula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venditionis</w:t>
      </w:r>
      <w:proofErr w:type="spellEnd"/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 drawn up in 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30 and prepared in Pisa ‘‘infra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claustra Sancti Nicolai’’. In 1295, the church 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 the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monastery of St. Nicholas passed by the Cistercian monks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of the Verruca to the Augustinian friars, although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transaction was finally approved by Pope Boniface VIII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2 years later. In the first decades of the fourteenth century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[16–20], the Hermits of St. Augustine started work on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extension and reorganization of the monastic complex.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The bell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lastRenderedPageBreak/>
        <w:t>tower (Fig. 1a),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 slightly tilting with its base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under the current stree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t level such as the most famous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Leaning Tower, is a mediev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>al four-</w:t>
      </w:r>
      <w:proofErr w:type="spellStart"/>
      <w:r w:rsidR="004B7E12">
        <w:rPr>
          <w:rFonts w:ascii="Times New Roman" w:hAnsi="Times New Roman" w:cs="Times New Roman"/>
          <w:sz w:val="24"/>
          <w:szCs w:val="24"/>
          <w:lang w:val="en-US"/>
        </w:rPr>
        <w:t>storey</w:t>
      </w:r>
      <w:proofErr w:type="spellEnd"/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 structure (total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height: 34 m; external di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ameter: 5 m; internal diameter: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3 m), which most likely dat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es back to 1170 [17]. Inside, a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beautiful spiral staircase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 with small arches supported by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columns (Fig. 1b) w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as built with about one hundred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architectonical element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s made up mainly of marble, but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also of granite, quartzite and limes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tone (Fig. 1c–f).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archaeometr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>ic</w:t>
      </w:r>
      <w:proofErr w:type="spellEnd"/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 analyses were accompanied by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archaeological and stra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tigraphic investigations of the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internal masonry structures,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 aimed at the reconstruction of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the main building phases th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at have affected the bell tower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and the identification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 of the construction techniques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adopted at the time of i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ts construction, and during the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subsequent reorganization a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nd restoration works. The study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of the architectural element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s used in the spiral staircase—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compared with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archaeometric</w:t>
      </w:r>
      <w:proofErr w:type="spellEnd"/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 analyses on the main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rocks—also allowed us t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o recognize the frequent use of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recycled materials for the 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construction of the bell tower.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The present article refers t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o the obtained results, focused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on assessing the stone 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materials used for building the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internal spiral staircase, 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i.e. identifying the nature and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provenance of bases, shaf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ts and capitals employed in the assemblage of the columns.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For carrying out the s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tudy, the identification of the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coloured</w:t>
      </w:r>
      <w:proofErr w:type="spellEnd"/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lithotypes</w:t>
      </w:r>
      <w:proofErr w:type="spellEnd"/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 wa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s done by naked-eye examination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of the macroscopic feat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ures, comparing them with those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shown by the stones us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ed in the medieval buildings at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Pisa [21–24]. On th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e contrary, provenance of white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marbles was assessed on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 the basis of usual and topical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provenance methods, as diagnostic fabric parameters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(i.e.: microstruct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ure, boundary types and maximum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grain size of the carbonate crystals), calcite and dolomite presence/absence, 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detection of peculiar accessory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minerals, and variat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ion in abundances of carbon and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oxygen isotopes; C–O isotopes are in fact c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onsidered </w:t>
      </w:r>
      <w:proofErr w:type="spellStart"/>
      <w:r w:rsidR="004B7E1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signature</w:t>
      </w:r>
      <w:proofErr w:type="spellEnd"/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 derived from g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eological history and thus able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to cluster marbles with common g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eographical provenance [25–27].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Archaeological data 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shows that the structure of the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bell tower of the St. Ni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cholas Church at Pisa, with the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exception of the cusp, is e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ssentially related to the first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constructive stage of foundation. In fact, the well preserved masonry is homo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geneous and continuous, without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noticeable replacement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s with new stone materials. The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bell tower was built combining the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 use of Mt. Pisano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quartzite and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calcare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>nite</w:t>
      </w:r>
      <w:proofErr w:type="spellEnd"/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7E12">
        <w:rPr>
          <w:rFonts w:ascii="Times New Roman" w:hAnsi="Times New Roman" w:cs="Times New Roman"/>
          <w:sz w:val="24"/>
          <w:szCs w:val="24"/>
          <w:lang w:val="en-US"/>
        </w:rPr>
        <w:t>Panchina</w:t>
      </w:r>
      <w:proofErr w:type="spellEnd"/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, according to the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specific physical and mec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hanical properties of these two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lithotypes</w:t>
      </w:r>
      <w:proofErr w:type="spellEnd"/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 [23, 24]. The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 exclusive use of quartzite for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building the main structu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re, up to the belfry, including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all the steps of the spir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al staircase, is matched by the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 xml:space="preserve">almost total use of </w:t>
      </w:r>
      <w:proofErr w:type="spellStart"/>
      <w:r w:rsidRPr="00416797">
        <w:rPr>
          <w:rFonts w:ascii="Times New Roman" w:hAnsi="Times New Roman" w:cs="Times New Roman"/>
          <w:sz w:val="24"/>
          <w:szCs w:val="24"/>
          <w:lang w:val="en-US"/>
        </w:rPr>
        <w:t>calcar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>enite</w:t>
      </w:r>
      <w:proofErr w:type="spellEnd"/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7E12">
        <w:rPr>
          <w:rFonts w:ascii="Times New Roman" w:hAnsi="Times New Roman" w:cs="Times New Roman"/>
          <w:sz w:val="24"/>
          <w:szCs w:val="24"/>
          <w:lang w:val="en-US"/>
        </w:rPr>
        <w:t>Panchina</w:t>
      </w:r>
      <w:proofErr w:type="spellEnd"/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 in the system of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the rampant arches and i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n the masonry at the top of the </w:t>
      </w:r>
      <w:r w:rsidRPr="00416797">
        <w:rPr>
          <w:rFonts w:ascii="Times New Roman" w:hAnsi="Times New Roman" w:cs="Times New Roman"/>
          <w:sz w:val="24"/>
          <w:szCs w:val="24"/>
          <w:lang w:val="en-US"/>
        </w:rPr>
        <w:t>bell tower. The deliberate choice of usin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g </w:t>
      </w:r>
      <w:r w:rsidR="004B7E12" w:rsidRPr="004B7E12">
        <w:rPr>
          <w:rFonts w:ascii="Times New Roman" w:hAnsi="Times New Roman" w:cs="Times New Roman"/>
          <w:sz w:val="24"/>
          <w:szCs w:val="24"/>
          <w:lang w:val="en-US"/>
        </w:rPr>
        <w:t>these two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B7E12" w:rsidRPr="004B7E12">
        <w:rPr>
          <w:rFonts w:ascii="Times New Roman" w:hAnsi="Times New Roman" w:cs="Times New Roman"/>
          <w:sz w:val="24"/>
          <w:szCs w:val="24"/>
          <w:lang w:val="en-US"/>
        </w:rPr>
        <w:t>lithotypes</w:t>
      </w:r>
      <w:proofErr w:type="spellEnd"/>
      <w:r w:rsidR="004B7E12" w:rsidRPr="004B7E12">
        <w:rPr>
          <w:rFonts w:ascii="Times New Roman" w:hAnsi="Times New Roman" w:cs="Times New Roman"/>
          <w:sz w:val="24"/>
          <w:szCs w:val="24"/>
          <w:lang w:val="en-US"/>
        </w:rPr>
        <w:t xml:space="preserve"> for building the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 structure of the bell tower is </w:t>
      </w:r>
      <w:r w:rsidR="004B7E12" w:rsidRPr="004B7E12">
        <w:rPr>
          <w:rFonts w:ascii="Times New Roman" w:hAnsi="Times New Roman" w:cs="Times New Roman"/>
          <w:sz w:val="24"/>
          <w:szCs w:val="24"/>
          <w:lang w:val="en-US"/>
        </w:rPr>
        <w:t>accompanied by the use of materials and architec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tural </w:t>
      </w:r>
      <w:r w:rsidR="004B7E12" w:rsidRPr="004B7E12">
        <w:rPr>
          <w:rFonts w:ascii="Times New Roman" w:hAnsi="Times New Roman" w:cs="Times New Roman"/>
          <w:sz w:val="24"/>
          <w:szCs w:val="24"/>
          <w:lang w:val="en-US"/>
        </w:rPr>
        <w:t xml:space="preserve">elements of </w:t>
      </w:r>
      <w:proofErr w:type="spellStart"/>
      <w:r w:rsidR="004B7E12" w:rsidRPr="004B7E12">
        <w:rPr>
          <w:rFonts w:ascii="Times New Roman" w:hAnsi="Times New Roman" w:cs="Times New Roman"/>
          <w:sz w:val="24"/>
          <w:szCs w:val="24"/>
          <w:lang w:val="en-US"/>
        </w:rPr>
        <w:t>spolia</w:t>
      </w:r>
      <w:proofErr w:type="spellEnd"/>
      <w:r w:rsidR="004B7E12" w:rsidRPr="004B7E12">
        <w:rPr>
          <w:rFonts w:ascii="Times New Roman" w:hAnsi="Times New Roman" w:cs="Times New Roman"/>
          <w:sz w:val="24"/>
          <w:szCs w:val="24"/>
          <w:lang w:val="en-US"/>
        </w:rPr>
        <w:t xml:space="preserve"> for t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 xml:space="preserve">he assemblage of the columns of </w:t>
      </w:r>
      <w:r w:rsidR="004B7E12" w:rsidRPr="004B7E12">
        <w:rPr>
          <w:rFonts w:ascii="Times New Roman" w:hAnsi="Times New Roman" w:cs="Times New Roman"/>
          <w:sz w:val="24"/>
          <w:szCs w:val="24"/>
          <w:lang w:val="en-US"/>
        </w:rPr>
        <w:t>the spiral staircase</w:t>
      </w:r>
      <w:r w:rsidR="004B7E1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B7E12" w:rsidRPr="004B7E12" w:rsidRDefault="004B7E12" w:rsidP="00AB3E3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B7E12">
        <w:rPr>
          <w:rFonts w:ascii="Times New Roman" w:hAnsi="Times New Roman" w:cs="Times New Roman"/>
          <w:b/>
          <w:sz w:val="24"/>
          <w:szCs w:val="24"/>
          <w:lang w:val="en-US"/>
        </w:rPr>
        <w:t>2 Materials and methods</w:t>
      </w:r>
    </w:p>
    <w:p w:rsidR="004B7E12" w:rsidRDefault="004B7E12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7E12">
        <w:rPr>
          <w:rFonts w:ascii="Times New Roman" w:hAnsi="Times New Roman" w:cs="Times New Roman"/>
          <w:sz w:val="24"/>
          <w:szCs w:val="24"/>
          <w:lang w:val="en-US"/>
        </w:rPr>
        <w:t>One hundred and four architectural elements were examined observing their 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ain macroscopic features and 45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marble samples were collected for a detailed study by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optical microscopy (OM), X-ray powder diffraction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(XRPD), scanning electron microscopy equipped with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 xml:space="preserve">dispersive </w:t>
      </w:r>
      <w:proofErr w:type="spellStart"/>
      <w:r w:rsidRPr="004B7E12">
        <w:rPr>
          <w:rFonts w:ascii="Times New Roman" w:hAnsi="Times New Roman" w:cs="Times New Roman"/>
          <w:sz w:val="24"/>
          <w:szCs w:val="24"/>
          <w:lang w:val="en-US"/>
        </w:rPr>
        <w:lastRenderedPageBreak/>
        <w:t>microanalyt</w:t>
      </w:r>
      <w:r>
        <w:rPr>
          <w:rFonts w:ascii="Times New Roman" w:hAnsi="Times New Roman" w:cs="Times New Roman"/>
          <w:sz w:val="24"/>
          <w:szCs w:val="24"/>
          <w:lang w:val="en-US"/>
        </w:rPr>
        <w:t>ical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system (SEM/EDS), and mass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 xml:space="preserve">spectroscopy for carbon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oxygen stable isotope ratio analysis (SIRA).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Thin section study us</w:t>
      </w:r>
      <w:r>
        <w:rPr>
          <w:rFonts w:ascii="Times New Roman" w:hAnsi="Times New Roman" w:cs="Times New Roman"/>
          <w:sz w:val="24"/>
          <w:szCs w:val="24"/>
          <w:lang w:val="en-US"/>
        </w:rPr>
        <w:t>ing a Zeiss-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Axioplan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polarizing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microscope was 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erformed to measure the maximum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grain size (MGS) of the calc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ite/dolomite crystals and to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observe the petrograp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hic features of the rocks, i.e.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 xml:space="preserve">grain-size uniformity,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type of texture, grain-boundary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shape, and accessory mi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nerals. The terminology used to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describe the marble textu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 is that adopted by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Antonelli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proofErr w:type="spellStart"/>
      <w:r w:rsidRPr="004B7E12">
        <w:rPr>
          <w:rFonts w:ascii="Times New Roman" w:hAnsi="Times New Roman" w:cs="Times New Roman"/>
          <w:sz w:val="24"/>
          <w:szCs w:val="24"/>
          <w:lang w:val="en-US"/>
        </w:rPr>
        <w:t>Lazzarini</w:t>
      </w:r>
      <w:proofErr w:type="spellEnd"/>
      <w:r w:rsidRPr="004B7E12">
        <w:rPr>
          <w:rFonts w:ascii="Times New Roman" w:hAnsi="Times New Roman" w:cs="Times New Roman"/>
          <w:sz w:val="24"/>
          <w:szCs w:val="24"/>
          <w:lang w:val="en-US"/>
        </w:rPr>
        <w:t xml:space="preserve"> [4]. The 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rain sizes of the studied rocks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are reported accordin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 to the scheme proposed by the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British Geologica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 Survey based on the Wentworth scale [28].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 xml:space="preserve">XRPD, using a Bragg–Brentano geometry and Ni-filtered Cu </w:t>
      </w:r>
      <w:proofErr w:type="spellStart"/>
      <w:r w:rsidRPr="004B7E12">
        <w:rPr>
          <w:rFonts w:ascii="Times New Roman" w:hAnsi="Times New Roman" w:cs="Times New Roman"/>
          <w:sz w:val="24"/>
          <w:szCs w:val="24"/>
          <w:lang w:val="en-US"/>
        </w:rPr>
        <w:t>Ka</w:t>
      </w:r>
      <w:proofErr w:type="spellEnd"/>
      <w:r w:rsidRPr="004B7E12">
        <w:rPr>
          <w:rFonts w:ascii="Times New Roman" w:hAnsi="Times New Roman" w:cs="Times New Roman"/>
          <w:sz w:val="24"/>
          <w:szCs w:val="24"/>
          <w:lang w:val="en-US"/>
        </w:rPr>
        <w:t xml:space="preserve"> radiation at 40 kV and 20 mA, was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used to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identify the main mineral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ogical phases (i.e. calcite and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olomite) in the marble samples.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Qualitative data about the possible accessory minerals in white marbles were acquired by SEM observations and mic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roanalysis using a Philips XL30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instrument equipped with an energy dispersive spectrometry EDAX (</w:t>
      </w:r>
      <w:proofErr w:type="spellStart"/>
      <w:r w:rsidRPr="004B7E12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tandardless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software DXi4) with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 xml:space="preserve">20 kV acceleration </w:t>
      </w:r>
      <w:proofErr w:type="gramStart"/>
      <w:r w:rsidRPr="004B7E12">
        <w:rPr>
          <w:rFonts w:ascii="Times New Roman" w:hAnsi="Times New Roman" w:cs="Times New Roman"/>
          <w:sz w:val="24"/>
          <w:szCs w:val="24"/>
          <w:lang w:val="en-US"/>
        </w:rPr>
        <w:t>vo</w:t>
      </w:r>
      <w:r>
        <w:rPr>
          <w:rFonts w:ascii="Times New Roman" w:hAnsi="Times New Roman" w:cs="Times New Roman"/>
          <w:sz w:val="24"/>
          <w:szCs w:val="24"/>
          <w:lang w:val="en-US"/>
        </w:rPr>
        <w:t>ltage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, 0.1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beam current, and 100 s live time.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Carbon and oxygen stable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isotopes were measured by mass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spectrometry [29]. Carbonate powders were 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acted with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 xml:space="preserve">100% phosphoric acid at 70 </w:t>
      </w:r>
      <w:r>
        <w:rPr>
          <w:rFonts w:ascii="Times New Roman" w:hAnsi="Times New Roman" w:cs="Times New Roman"/>
          <w:sz w:val="24"/>
          <w:szCs w:val="24"/>
          <w:lang w:val="en-US"/>
        </w:rPr>
        <w:separator/>
        <w:t xml:space="preserve">C using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GasbenchII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connected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 xml:space="preserve">to a </w:t>
      </w:r>
      <w:proofErr w:type="spellStart"/>
      <w:r w:rsidRPr="004B7E12">
        <w:rPr>
          <w:rFonts w:ascii="Times New Roman" w:hAnsi="Times New Roman" w:cs="Times New Roman"/>
          <w:sz w:val="24"/>
          <w:szCs w:val="24"/>
          <w:lang w:val="en-US"/>
        </w:rPr>
        <w:t>ThermoFinnig</w:t>
      </w:r>
      <w:r>
        <w:rPr>
          <w:rFonts w:ascii="Times New Roman" w:hAnsi="Times New Roman" w:cs="Times New Roman"/>
          <w:sz w:val="24"/>
          <w:szCs w:val="24"/>
          <w:lang w:val="en-US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Five-Plus mass spectrometer.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 xml:space="preserve">The isotopic ratios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carbon and oxygen were measured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in accordance with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international standard Pee Dee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Belemnite (PDB) and expr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essed in delta values d13C% and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d18O% [30]. The standar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 error for the delta values is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±0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.1% for both carbon and oxygen.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The results of mineralog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ical, petrographic and isotopic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 xml:space="preserve">analyses were carefully compared with data reported in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li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terature, collecting data about Mediterranean marbles </w:t>
      </w:r>
      <w:r w:rsidRPr="004B7E12">
        <w:rPr>
          <w:rFonts w:ascii="Times New Roman" w:hAnsi="Times New Roman" w:cs="Times New Roman"/>
          <w:sz w:val="24"/>
          <w:szCs w:val="24"/>
          <w:lang w:val="en-US"/>
        </w:rPr>
        <w:t>used in antiquity [4, 25–27, 31–33].</w:t>
      </w:r>
    </w:p>
    <w:p w:rsidR="001E297E" w:rsidRPr="001E297E" w:rsidRDefault="001E297E" w:rsidP="00AB3E3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297E">
        <w:rPr>
          <w:rFonts w:ascii="Times New Roman" w:hAnsi="Times New Roman" w:cs="Times New Roman"/>
          <w:b/>
          <w:sz w:val="24"/>
          <w:szCs w:val="24"/>
          <w:lang w:val="en-US"/>
        </w:rPr>
        <w:t>3 Results and discussion</w:t>
      </w:r>
    </w:p>
    <w:p w:rsidR="001E297E" w:rsidRPr="001E297E" w:rsidRDefault="001E297E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E297E">
        <w:rPr>
          <w:rFonts w:ascii="Times New Roman" w:hAnsi="Times New Roman" w:cs="Times New Roman"/>
          <w:sz w:val="24"/>
          <w:szCs w:val="24"/>
          <w:lang w:val="en-US"/>
        </w:rPr>
        <w:t>The main geometric features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the columns, including data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on bases, shafts and cap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itals, are reported in Table 1,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together with a preliminary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classification of the building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stones as identified by na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ked-eye examination and under a field microscope.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 xml:space="preserve">The 28 columns of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internal staircase are composed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of 104 elements, includin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 bases (labelled as a), shafts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(labelled as b), and capital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 (labelled as c). It has to be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highlighted that possibly due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reuse routines, some of the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aforementioned elements 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 due to more than one unit. In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addition to 28 bases, 28 sh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afts and 28 capitals there are: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(a) one base and one capita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 of the ground floor; (b) five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 xml:space="preserve">bases and one shaft of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first floor; (c) two bases, two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shafts and two capitals of 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 second floor; (d) one base of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the third floor; (e) two bases and thr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ee shafts of the belfry.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Overall, the height of 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analysed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columns ranges from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169 cm (column 25) to 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40 cm (column 1) with 275 cm as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average value. Excludi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ng the columns 1 and 23–28, the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height of the vertical sup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port ranges from 264 cm (column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21) to 310 cm (colu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mn 12) with an average value of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29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0 cm. As regards the shaft, the circumference measured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at medium height range 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rom 51 to 108 cm and from 71 to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107 cm for all the colum</w:t>
      </w:r>
      <w:r>
        <w:rPr>
          <w:rFonts w:ascii="Times New Roman" w:hAnsi="Times New Roman" w:cs="Times New Roman"/>
          <w:sz w:val="24"/>
          <w:szCs w:val="24"/>
          <w:lang w:val="en-US"/>
        </w:rPr>
        <w:t>ns, except columns 1 and 23–28.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The presence of vertical architectonical elements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different height, size and lithology (marble, granite,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quartzite and limestone) high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lights that the </w:t>
      </w: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planner and the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builders settled on the reuse 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 ancient stones rather than on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the use of new quarrying mate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rials for building the internal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staircase. The study of ident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ification and provenance of the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stones provided the results as follows (Fig. 2).</w:t>
      </w:r>
    </w:p>
    <w:p w:rsidR="001E297E" w:rsidRPr="001E297E" w:rsidRDefault="001E297E" w:rsidP="00AB3E3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297E">
        <w:rPr>
          <w:rFonts w:ascii="Times New Roman" w:hAnsi="Times New Roman" w:cs="Times New Roman"/>
          <w:b/>
          <w:sz w:val="24"/>
          <w:szCs w:val="24"/>
          <w:lang w:val="en-US"/>
        </w:rPr>
        <w:t>3.1 White crystalline marbles</w:t>
      </w:r>
    </w:p>
    <w:p w:rsidR="004B7E12" w:rsidRDefault="001E297E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E297E">
        <w:rPr>
          <w:rFonts w:ascii="Times New Roman" w:hAnsi="Times New Roman" w:cs="Times New Roman"/>
          <w:sz w:val="24"/>
          <w:szCs w:val="24"/>
          <w:lang w:val="en-US"/>
        </w:rPr>
        <w:t xml:space="preserve">Based on macroscopic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features, we have identified 64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architectural elements (16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bases, 24 shafts, 24 capitals)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made of crystalline marbles. Overall, 45 items were sampled: 10 bases (62.5%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total number of bases), 15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shafts (62.5% of the total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and 20 capitals (83.3% of the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total). All the items res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ulted made of pure white marble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except the samples 8b1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15b1, 17b1, 19b1, 21b1, 24b1,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24c1, which were characteri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zed by the presence of parallel grey stripes (foliation).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The main mineralo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gical and petrographic features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obtained by XRPD, optic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al microscopy and SEM analysis,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along with the C–O isotopi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 ratios of all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analysed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marble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samples are reported in Table 2, while in Fig. 3 microphotographs of represen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tative thin sections are shown.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According to reference data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reported in the literature for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white marbles used in antiquity [4, 25–27], the measured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maximum grain size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(MGS) values ranging from 0.10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(samples 22a1, 27a2, 26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c1 and 28c1) to 3.40 mm (sample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14c1), combined with other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petrographic features (such as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texture, grain boundar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 shapes, triple points, twins)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 xml:space="preserve">strongly suggest that the </w:t>
      </w:r>
      <w:proofErr w:type="spellStart"/>
      <w:r w:rsidRPr="001E297E">
        <w:rPr>
          <w:rFonts w:ascii="Times New Roman" w:hAnsi="Times New Roman" w:cs="Times New Roman"/>
          <w:sz w:val="24"/>
          <w:szCs w:val="24"/>
          <w:lang w:val="en-US"/>
        </w:rPr>
        <w:t>analysed</w:t>
      </w:r>
      <w:proofErr w:type="spellEnd"/>
      <w:r w:rsidRPr="001E297E">
        <w:rPr>
          <w:rFonts w:ascii="Times New Roman" w:hAnsi="Times New Roman" w:cs="Times New Roman"/>
          <w:sz w:val="24"/>
          <w:szCs w:val="24"/>
          <w:lang w:val="en-US"/>
        </w:rPr>
        <w:t xml:space="preserve"> marbles come from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several Mediterranean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sources (where P–T metamorphic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conditions induced a more 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 less recrystallization of the calcite/dolomite crystals).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1E297E">
        <w:rPr>
          <w:rFonts w:ascii="Times New Roman" w:hAnsi="Times New Roman" w:cs="Times New Roman"/>
          <w:sz w:val="24"/>
          <w:szCs w:val="24"/>
          <w:lang w:val="en-US"/>
        </w:rPr>
        <w:t>analysed</w:t>
      </w:r>
      <w:proofErr w:type="spellEnd"/>
      <w:r w:rsidRPr="001E297E">
        <w:rPr>
          <w:rFonts w:ascii="Times New Roman" w:hAnsi="Times New Roman" w:cs="Times New Roman"/>
          <w:sz w:val="24"/>
          <w:szCs w:val="24"/>
          <w:lang w:val="en-US"/>
        </w:rPr>
        <w:t xml:space="preserve"> marbles show a large variability of textures, which are prevalently </w:t>
      </w:r>
      <w:proofErr w:type="spellStart"/>
      <w:r w:rsidRPr="001E297E">
        <w:rPr>
          <w:rFonts w:ascii="Times New Roman" w:hAnsi="Times New Roman" w:cs="Times New Roman"/>
          <w:sz w:val="24"/>
          <w:szCs w:val="24"/>
          <w:lang w:val="en-US"/>
        </w:rPr>
        <w:t>heteroblastic</w:t>
      </w:r>
      <w:proofErr w:type="spellEnd"/>
      <w:r w:rsidRPr="001E297E">
        <w:rPr>
          <w:rFonts w:ascii="Times New Roman" w:hAnsi="Times New Roman" w:cs="Times New Roman"/>
          <w:sz w:val="24"/>
          <w:szCs w:val="24"/>
          <w:lang w:val="en-US"/>
        </w:rPr>
        <w:t>, only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 xml:space="preserve">subordinately </w:t>
      </w:r>
      <w:proofErr w:type="spellStart"/>
      <w:r w:rsidRPr="001E297E">
        <w:rPr>
          <w:rFonts w:ascii="Times New Roman" w:hAnsi="Times New Roman" w:cs="Times New Roman"/>
          <w:sz w:val="24"/>
          <w:szCs w:val="24"/>
          <w:lang w:val="en-US"/>
        </w:rPr>
        <w:t>homeoblastic</w:t>
      </w:r>
      <w:proofErr w:type="spellEnd"/>
      <w:r w:rsidRPr="001E297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E297E">
        <w:rPr>
          <w:rFonts w:ascii="Times New Roman" w:hAnsi="Times New Roman" w:cs="Times New Roman"/>
          <w:sz w:val="24"/>
          <w:szCs w:val="24"/>
          <w:lang w:val="en-US"/>
        </w:rPr>
        <w:t>granobl</w:t>
      </w:r>
      <w:r>
        <w:rPr>
          <w:rFonts w:ascii="Times New Roman" w:hAnsi="Times New Roman" w:cs="Times New Roman"/>
          <w:sz w:val="24"/>
          <w:szCs w:val="24"/>
          <w:lang w:val="en-US"/>
        </w:rPr>
        <w:t>astic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microstructures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with boundary shapes ranging from right to embayed (lobate) and, subordinately, 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ortar (samples 8b1, 15b1, 17b1,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 xml:space="preserve">19b1, 21b1, 24b1, 24c1)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mosaic (samples 11c1, 14c1)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 xml:space="preserve">fabrics. Some marble samples show a </w:t>
      </w:r>
      <w:proofErr w:type="spellStart"/>
      <w:r w:rsidRPr="001E297E">
        <w:rPr>
          <w:rFonts w:ascii="Times New Roman" w:hAnsi="Times New Roman" w:cs="Times New Roman"/>
          <w:sz w:val="24"/>
          <w:szCs w:val="24"/>
          <w:lang w:val="en-US"/>
        </w:rPr>
        <w:t>microgranular</w:t>
      </w:r>
      <w:proofErr w:type="spellEnd"/>
      <w:r w:rsidRPr="001E297E">
        <w:rPr>
          <w:rFonts w:ascii="Times New Roman" w:hAnsi="Times New Roman" w:cs="Times New Roman"/>
          <w:sz w:val="24"/>
          <w:szCs w:val="24"/>
          <w:lang w:val="en-US"/>
        </w:rPr>
        <w:t xml:space="preserve"> texture (sample</w:t>
      </w:r>
      <w:r>
        <w:rPr>
          <w:rFonts w:ascii="Times New Roman" w:hAnsi="Times New Roman" w:cs="Times New Roman"/>
          <w:sz w:val="24"/>
          <w:szCs w:val="24"/>
          <w:lang w:val="en-US"/>
        </w:rPr>
        <w:t>s 22a1, 27a2, 26c1 and 28c1).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From mineralogical poi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nt of view, the studied marbles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 xml:space="preserve">exhibits calcite as main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component, even in some samples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also dolomite has bee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 detected as subordinate phase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(Fig. 4). In some cases, 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EM observations and qualitative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EDS analysis have allo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wed us to confirm or reveal the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nature of the few ac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cessory minerals (often already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detected by optical mic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roscopy), mainly represented by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quartz, plagioclase, grap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hite, and pyrite (see Table 2). </w:t>
      </w:r>
      <w:proofErr w:type="gramStart"/>
      <w:r w:rsidRPr="001E297E">
        <w:rPr>
          <w:rFonts w:ascii="Times New Roman" w:hAnsi="Times New Roman" w:cs="Times New Roman"/>
          <w:sz w:val="24"/>
          <w:szCs w:val="24"/>
          <w:lang w:val="en-US"/>
        </w:rPr>
        <w:t>The delta values of carbon and oxygen isot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opes range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from 1.61 (sample 27b1)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3.56% (sample 3c1) and from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-9.66% (sample 3c1) to -0.99% (sample 21c1), respectively.</w:t>
      </w:r>
      <w:proofErr w:type="gramEnd"/>
      <w:r w:rsidRPr="001E297E">
        <w:rPr>
          <w:rFonts w:ascii="Times New Roman" w:hAnsi="Times New Roman" w:cs="Times New Roman"/>
          <w:sz w:val="24"/>
          <w:szCs w:val="24"/>
          <w:lang w:val="en-US"/>
        </w:rPr>
        <w:t xml:space="preserve"> By plotting the isotop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ic data into reference isotopic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fields [4, 26, 31, 32],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match with Carrara and Marmara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marbles, partially overlapp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ing the fields corresponding to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other ancient quarrying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reas such as those of Paros and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asos, can be observed (Fig. 5).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Table 3 reports the most probable provenance of marbles used for architect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onic elements of the columns as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obtained combining mineralogical and petrographic features and C–O isotopic dat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a. The collected data point out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 xml:space="preserve">that most of the bases are made up of </w:t>
      </w:r>
      <w:proofErr w:type="spellStart"/>
      <w:r w:rsidRPr="001E297E">
        <w:rPr>
          <w:rFonts w:ascii="Times New Roman" w:hAnsi="Times New Roman" w:cs="Times New Roman"/>
          <w:sz w:val="24"/>
          <w:szCs w:val="24"/>
          <w:lang w:val="en-US"/>
        </w:rPr>
        <w:t>Apuan</w:t>
      </w:r>
      <w:proofErr w:type="spellEnd"/>
      <w:r w:rsidRPr="001E297E">
        <w:rPr>
          <w:rFonts w:ascii="Times New Roman" w:hAnsi="Times New Roman" w:cs="Times New Roman"/>
          <w:sz w:val="24"/>
          <w:szCs w:val="24"/>
          <w:lang w:val="en-US"/>
        </w:rPr>
        <w:t xml:space="preserve"> marble</w:t>
      </w:r>
      <w:r w:rsidR="000833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(Carrara, Italy; 80% of the total) and subordinately of Mt.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 w:rsidRPr="001E297E">
        <w:rPr>
          <w:rFonts w:ascii="Times New Roman" w:hAnsi="Times New Roman" w:cs="Times New Roman"/>
          <w:sz w:val="24"/>
          <w:szCs w:val="24"/>
          <w:lang w:val="en-US"/>
        </w:rPr>
        <w:t>Pisano marble (Pisa, Italy; 2</w:t>
      </w:r>
      <w:r>
        <w:rPr>
          <w:rFonts w:ascii="Times New Roman" w:hAnsi="Times New Roman" w:cs="Times New Roman"/>
          <w:sz w:val="24"/>
          <w:szCs w:val="24"/>
          <w:lang w:val="en-US"/>
        </w:rPr>
        <w:t>0% of the total).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Greek marbles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 xml:space="preserve">from Mt. </w:t>
      </w:r>
      <w:proofErr w:type="spellStart"/>
      <w:r w:rsidRPr="001E297E">
        <w:rPr>
          <w:rFonts w:ascii="Times New Roman" w:hAnsi="Times New Roman" w:cs="Times New Roman"/>
          <w:sz w:val="24"/>
          <w:szCs w:val="24"/>
          <w:lang w:val="en-US"/>
        </w:rPr>
        <w:t>Penteli</w:t>
      </w:r>
      <w:proofErr w:type="spellEnd"/>
      <w:r w:rsidRPr="001E297E">
        <w:rPr>
          <w:rFonts w:ascii="Times New Roman" w:hAnsi="Times New Roman" w:cs="Times New Roman"/>
          <w:sz w:val="24"/>
          <w:szCs w:val="24"/>
          <w:lang w:val="en-US"/>
        </w:rPr>
        <w:t xml:space="preserve"> (7% of 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he total), Turkish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Proconnesian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marble from Marmara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(40% of the total) and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Lunense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marble from Carrara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53% of the total) </w:t>
      </w: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were used for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carving the column shafts, while 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arrara (70% of the total),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Mt. Pisano (10% of the tota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l), Marmara (10% of the total),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Paros (5% of the total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Campiglia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M.ma (5% of the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 xml:space="preserve">total) are the most likely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sources of the marbles used for </w:t>
      </w:r>
      <w:r w:rsidRPr="001E297E">
        <w:rPr>
          <w:rFonts w:ascii="Times New Roman" w:hAnsi="Times New Roman" w:cs="Times New Roman"/>
          <w:sz w:val="24"/>
          <w:szCs w:val="24"/>
          <w:lang w:val="en-US"/>
        </w:rPr>
        <w:t>capitals.</w:t>
      </w:r>
    </w:p>
    <w:p w:rsidR="00083383" w:rsidRPr="00083383" w:rsidRDefault="00083383" w:rsidP="00AB3E3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b/>
          <w:sz w:val="24"/>
          <w:szCs w:val="24"/>
          <w:lang w:val="en-US"/>
        </w:rPr>
        <w:t>3.2 Other building and decorative stones</w:t>
      </w:r>
    </w:p>
    <w:p w:rsidR="00083383" w:rsidRP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sz w:val="24"/>
          <w:szCs w:val="24"/>
          <w:lang w:val="en-US"/>
        </w:rPr>
        <w:t>Based on the observatio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ns of the macroscopic features,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forty column elements ma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 up of granite, quartzite and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limestone were identified: 22 bases, 10 shafts and 8 capitals. The provenance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these stones was assumed as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follows:</w:t>
      </w:r>
    </w:p>
    <w:p w:rsidR="00083383" w:rsidRP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sz w:val="24"/>
          <w:szCs w:val="24"/>
          <w:lang w:val="en-US"/>
        </w:rPr>
        <w:t>– Granites (six column sh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afts): three samples (1b1, 9b1,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11b1) are from Island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Elba (Tuscany, Italy),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probably from the Mt.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Capanne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area, where the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socalled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granitello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antico was quarried [34]; three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samples (7b1, 12b1, 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3b1) are from Sardinia (Italy),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probably from the Capo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Testa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district, where the pink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variety of the local granite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was abundantly exploited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since Roman times [35].</w:t>
      </w:r>
    </w:p>
    <w:p w:rsid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Quartzites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(20 bases, 3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shafts and 7 capitals): all the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observed samples show macroscopic features corresponding to those descri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bed by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Franzini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et al. [23] for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the rocks belonging to the ‘‘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Quarziti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bianco</w:t>
      </w:r>
      <w:r>
        <w:rPr>
          <w:rFonts w:ascii="Times New Roman" w:hAnsi="Times New Roman" w:cs="Times New Roman"/>
          <w:sz w:val="24"/>
          <w:szCs w:val="24"/>
          <w:lang w:val="en-US"/>
        </w:rPr>
        <w:t>-rosa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’’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Formation cropping out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the nearby Mt. Pisano area;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consequently, we can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assume this area as provenance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locality. Effectively, the 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istorical sources correlate the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quartzite quarrying on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hill just north of the town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Crespignano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(S of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Calci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 the proprieties of San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Michele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alla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Verruca monks. In a document dated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August 11, 1147, 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 property of the abbots of the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Verruca of land in the 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ocality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Crespignano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in a place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called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Pinetulo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>, is attes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ted. The papal bull of Innocent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III in 1209, among othe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rs, remembers the rights of the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monastery on St. Mar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tin Church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Crespignano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This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bull refers to pre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vious papal bulls, in which the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quartzite quarrying area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probably of property of the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monks of San Michele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alla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Verruca for over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century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[15]. The monks could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therefore take advantage of the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quartzite quarry in the 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eriod that we have indicated as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possible time of </w:t>
      </w:r>
      <w:r>
        <w:rPr>
          <w:rFonts w:ascii="Times New Roman" w:hAnsi="Times New Roman" w:cs="Times New Roman"/>
          <w:sz w:val="24"/>
          <w:szCs w:val="24"/>
          <w:lang w:val="en-US"/>
        </w:rPr>
        <w:t>construction of the bell tower.</w:t>
      </w:r>
    </w:p>
    <w:p w:rsid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sz w:val="24"/>
          <w:szCs w:val="24"/>
          <w:lang w:val="en-US"/>
        </w:rPr>
        <w:t>– Limestones (2 bases, 1 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haft and 1 capital): these are: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(a) snow-white limestone (sa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mple 23c1) probably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coming from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Acq</w:t>
      </w:r>
      <w:r>
        <w:rPr>
          <w:rFonts w:ascii="Times New Roman" w:hAnsi="Times New Roman" w:cs="Times New Roman"/>
          <w:sz w:val="24"/>
          <w:szCs w:val="24"/>
          <w:lang w:val="en-US"/>
        </w:rPr>
        <w:t>uabona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quarrying area [21] near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Rosignano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Marittimo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(L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ivorno, Italy); (b) black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chert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limestone (sample 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7a1) similar to that from Monti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d’Oltre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Serchio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(Pisa, Italy) [24]; (c) red limestones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with ammonites (samp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les 6b1, 12a2) belonging to the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Rosso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Ammonitic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Formation of the Tuscan Nappe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sequence; the quarrying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area of this latter is still of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unknown origin, even if it extensively outcrops northwest of Pisa in the 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arby Monti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d’Oltre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Serchio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area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[24]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83383" w:rsidRDefault="00083383" w:rsidP="00AB3E3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b/>
          <w:sz w:val="24"/>
          <w:szCs w:val="24"/>
          <w:lang w:val="en-US"/>
        </w:rPr>
        <w:t>4 Conclusions</w:t>
      </w:r>
    </w:p>
    <w:p w:rsid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sz w:val="24"/>
          <w:szCs w:val="24"/>
          <w:lang w:val="en-US"/>
        </w:rPr>
        <w:lastRenderedPageBreak/>
        <w:t>This work highlights that macroscopic features, petrographic thin section analyses and isotopic data of carbon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and oxygen stable isotopes, complemented also by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mineralogical data, are useful for determining the provenance of the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lithotypes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used as vertical architectural elements of the spiral staircas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 of the St. Nicholas church at Pisa.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The collected data indic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ate that 64 stone elements on a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total of one hundred and 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our employed for the assemblage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of the columns are made up of calcite/dolomite-rich marbles, many of them alread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 used by the Romans, while for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the remaining forty el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ements granites,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quartzites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limesto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nes locally quarried were used.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The presence of Mediterranean marbles used in antiquity suggests a precise 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hoice of materials more than an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occasional use of marble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spolia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for realizing the spiral staircase.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The identified stone ma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terials suggest some hypotheses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about the period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construction of the bell tower.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The absence of Mt. Pisan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 marble as a building material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for columns, except for thre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 bases and two capitals of the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belfry, makes it possible to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hypothesize the foundation date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of the bell tower. It could be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ttested in the early thirteenth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century, a period in whi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ch Mt. Pisano marble from local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quarries was widely use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 in Pisa for columns and other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architectural elements [22], 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 also testified by the initial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constructive phase of 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he famous Leaning Tower (1173).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Likewise, the occasional use of Roman brick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reused in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the main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fac¸ade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made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up of quartzite suggests a time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before the start of seri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al production of Pisan medieval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bricks, attributable at the late XII century–early XIII century [19]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Thus, taking into accoun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 the even more sporadic use of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calcarenite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Panchina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in 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isa’s building since the second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half of the XII century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[24] and the right of quarrying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quartzite by San Michele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alla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Verruca monks, thi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 data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seems to place the foundatio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 of the bell tower between the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second half and the end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XII century, rather than in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early XIII century.</w:t>
      </w:r>
    </w:p>
    <w:p w:rsid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b/>
          <w:sz w:val="24"/>
          <w:szCs w:val="24"/>
          <w:lang w:val="en-US"/>
        </w:rPr>
        <w:t>Acknowledgements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83383" w:rsidRP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sz w:val="24"/>
          <w:szCs w:val="24"/>
        </w:rPr>
        <w:t>The sampli</w:t>
      </w:r>
      <w:r w:rsidRPr="00083383">
        <w:rPr>
          <w:rFonts w:ascii="Times New Roman" w:hAnsi="Times New Roman" w:cs="Times New Roman"/>
          <w:sz w:val="24"/>
          <w:szCs w:val="24"/>
        </w:rPr>
        <w:t xml:space="preserve">ng was carried out under permit </w:t>
      </w:r>
      <w:r w:rsidRPr="00083383">
        <w:rPr>
          <w:rFonts w:ascii="Times New Roman" w:hAnsi="Times New Roman" w:cs="Times New Roman"/>
          <w:sz w:val="24"/>
          <w:szCs w:val="24"/>
        </w:rPr>
        <w:t>from the Soprintendenza Archeologia, Belle Arti e Paesaggio per le</w:t>
      </w:r>
      <w:r w:rsidRPr="00083383">
        <w:rPr>
          <w:rFonts w:ascii="Times New Roman" w:hAnsi="Times New Roman" w:cs="Times New Roman"/>
          <w:sz w:val="24"/>
          <w:szCs w:val="24"/>
        </w:rPr>
        <w:t xml:space="preserve"> </w:t>
      </w:r>
      <w:r w:rsidRPr="00083383">
        <w:rPr>
          <w:rFonts w:ascii="Times New Roman" w:hAnsi="Times New Roman" w:cs="Times New Roman"/>
          <w:sz w:val="24"/>
          <w:szCs w:val="24"/>
        </w:rPr>
        <w:t xml:space="preserve">province di Pisa e Livorno.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 work was partially funded by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University of Pisa through project PRA 2016 (Chief: C.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Montomoli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83383" w:rsidRPr="00083383" w:rsidRDefault="00083383" w:rsidP="00AB3E3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b/>
          <w:sz w:val="24"/>
          <w:szCs w:val="24"/>
          <w:lang w:val="en-US"/>
        </w:rPr>
        <w:t>References</w:t>
      </w:r>
    </w:p>
    <w:p w:rsidR="00083383" w:rsidRP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1. K.J. Matthews, L.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Moens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>, S. Wa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lker, M.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Waelkens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P.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Paepe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in Ancient Stones: Quarrying, Tr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ade and Provenance, vol. 4, ed.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by N.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Herz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, M.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Waelkens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, L.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Moens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Acta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Archaeologica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Lovaniensia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Monographiae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>, Leuven, 1992), pp. 203–212</w:t>
      </w:r>
    </w:p>
    <w:p w:rsid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2. L.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Moens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, P.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Roos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, J. De Rudder, P. De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Paepe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, J. Van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Hende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>, M.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Waelkens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>, in Classical Marble: Geochemistry, Technology,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Trade. NATO ASI Series, ed. by H. Hertz, M.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Waelkens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(Kluwer,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Dordrecht, 1988), pp. 243–250</w:t>
      </w:r>
    </w:p>
    <w:p w:rsidR="008004A9" w:rsidRDefault="00083383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3. K.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Germann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, G.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Gruben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>, H. Kn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oll, V.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Valis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F.J. Winkler, in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Classical Marble: Geochemist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ry, Technology, Trade. NATO ASI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Series, ed. by H. Hertz, M.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Wael</w:t>
      </w:r>
      <w:r>
        <w:rPr>
          <w:rFonts w:ascii="Times New Roman" w:hAnsi="Times New Roman" w:cs="Times New Roman"/>
          <w:sz w:val="24"/>
          <w:szCs w:val="24"/>
          <w:lang w:val="en-US"/>
        </w:rPr>
        <w:t>kens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(Kluwer, Dordrecht, 1988), </w:t>
      </w:r>
      <w:r w:rsidRPr="008004A9">
        <w:rPr>
          <w:rFonts w:ascii="Times New Roman" w:hAnsi="Times New Roman" w:cs="Times New Roman"/>
          <w:sz w:val="24"/>
          <w:szCs w:val="24"/>
          <w:lang w:val="en-US"/>
        </w:rPr>
        <w:t>pp. 252–262</w:t>
      </w:r>
    </w:p>
    <w:p w:rsidR="008004A9" w:rsidRPr="008004A9" w:rsidRDefault="00083383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083383">
        <w:rPr>
          <w:rFonts w:ascii="Times New Roman" w:hAnsi="Times New Roman" w:cs="Times New Roman"/>
          <w:sz w:val="24"/>
          <w:szCs w:val="24"/>
        </w:rPr>
        <w:t>4. F. Antonelli, L. Lazzarini, Rend Lincei 26, 399–413 (2015)</w:t>
      </w:r>
    </w:p>
    <w:p w:rsidR="008004A9" w:rsidRPr="008004A9" w:rsidRDefault="00083383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5. T.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Koralaya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, S.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Kılınc¸arslan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>, J</w:t>
      </w:r>
      <w:r w:rsidR="008004A9">
        <w:rPr>
          <w:rFonts w:ascii="Times New Roman" w:hAnsi="Times New Roman" w:cs="Times New Roman"/>
          <w:sz w:val="24"/>
          <w:szCs w:val="24"/>
          <w:lang w:val="en-US"/>
        </w:rPr>
        <w:t xml:space="preserve">. Cult. </w:t>
      </w:r>
      <w:proofErr w:type="spellStart"/>
      <w:proofErr w:type="gramStart"/>
      <w:r w:rsidR="008004A9">
        <w:rPr>
          <w:rFonts w:ascii="Times New Roman" w:hAnsi="Times New Roman" w:cs="Times New Roman"/>
          <w:sz w:val="24"/>
          <w:szCs w:val="24"/>
          <w:lang w:val="en-US"/>
        </w:rPr>
        <w:t>Herit</w:t>
      </w:r>
      <w:proofErr w:type="spellEnd"/>
      <w:r w:rsidR="008004A9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800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04A9" w:rsidRPr="008004A9">
        <w:rPr>
          <w:rFonts w:ascii="Times New Roman" w:hAnsi="Times New Roman" w:cs="Times New Roman"/>
          <w:sz w:val="24"/>
          <w:szCs w:val="24"/>
        </w:rPr>
        <w:t>17, 42–52 (2016)</w:t>
      </w:r>
    </w:p>
    <w:p w:rsidR="00083383" w:rsidRPr="008004A9" w:rsidRDefault="00083383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8004A9">
        <w:rPr>
          <w:rFonts w:ascii="Times New Roman" w:hAnsi="Times New Roman" w:cs="Times New Roman"/>
          <w:sz w:val="24"/>
          <w:szCs w:val="24"/>
        </w:rPr>
        <w:t>6. D. Attanasio, M. B</w:t>
      </w:r>
      <w:r w:rsidR="008004A9">
        <w:rPr>
          <w:rFonts w:ascii="Times New Roman" w:hAnsi="Times New Roman" w:cs="Times New Roman"/>
          <w:sz w:val="24"/>
          <w:szCs w:val="24"/>
        </w:rPr>
        <w:t xml:space="preserve">runo, W. Prochaska, A.B. Yavuz, </w:t>
      </w:r>
      <w:r w:rsidRPr="008004A9">
        <w:rPr>
          <w:rFonts w:ascii="Times New Roman" w:hAnsi="Times New Roman" w:cs="Times New Roman"/>
          <w:sz w:val="24"/>
          <w:szCs w:val="24"/>
        </w:rPr>
        <w:t>Archaeometry 57, 217–245 (2015)</w:t>
      </w:r>
    </w:p>
    <w:p w:rsidR="00083383" w:rsidRP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7. A. Ebert, E.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Gnos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, K.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Ramseyer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, C.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Span</w:t>
      </w:r>
      <w:r w:rsidR="008004A9">
        <w:rPr>
          <w:rFonts w:ascii="Times New Roman" w:hAnsi="Times New Roman" w:cs="Times New Roman"/>
          <w:sz w:val="24"/>
          <w:szCs w:val="24"/>
          <w:lang w:val="en-US"/>
        </w:rPr>
        <w:t>dler</w:t>
      </w:r>
      <w:proofErr w:type="spellEnd"/>
      <w:r w:rsidR="008004A9">
        <w:rPr>
          <w:rFonts w:ascii="Times New Roman" w:hAnsi="Times New Roman" w:cs="Times New Roman"/>
          <w:sz w:val="24"/>
          <w:szCs w:val="24"/>
          <w:lang w:val="en-US"/>
        </w:rPr>
        <w:t xml:space="preserve">, D. </w:t>
      </w:r>
      <w:proofErr w:type="spellStart"/>
      <w:r w:rsidR="008004A9">
        <w:rPr>
          <w:rFonts w:ascii="Times New Roman" w:hAnsi="Times New Roman" w:cs="Times New Roman"/>
          <w:sz w:val="24"/>
          <w:szCs w:val="24"/>
          <w:lang w:val="en-US"/>
        </w:rPr>
        <w:t>Fleitmann</w:t>
      </w:r>
      <w:proofErr w:type="spellEnd"/>
      <w:r w:rsidR="008004A9">
        <w:rPr>
          <w:rFonts w:ascii="Times New Roman" w:hAnsi="Times New Roman" w:cs="Times New Roman"/>
          <w:sz w:val="24"/>
          <w:szCs w:val="24"/>
          <w:lang w:val="en-US"/>
        </w:rPr>
        <w:t xml:space="preserve">, D.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Bitzios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, D.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Decrouez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Archaeometry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52, 59 (2010)</w:t>
      </w:r>
    </w:p>
    <w:p w:rsidR="00083383" w:rsidRP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8. S.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Capedri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, G.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Venturelli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Archaeometry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46, 517–536 (2004)</w:t>
      </w:r>
    </w:p>
    <w:p w:rsidR="00083383" w:rsidRPr="008004A9" w:rsidRDefault="00083383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8004A9">
        <w:rPr>
          <w:rFonts w:ascii="Times New Roman" w:hAnsi="Times New Roman" w:cs="Times New Roman"/>
          <w:sz w:val="24"/>
          <w:szCs w:val="24"/>
        </w:rPr>
        <w:t xml:space="preserve">9. D. Attanasio, M. Brilli, N. </w:t>
      </w:r>
      <w:r w:rsidR="008004A9" w:rsidRPr="008004A9">
        <w:rPr>
          <w:rFonts w:ascii="Times New Roman" w:hAnsi="Times New Roman" w:cs="Times New Roman"/>
          <w:sz w:val="24"/>
          <w:szCs w:val="24"/>
        </w:rPr>
        <w:t xml:space="preserve">Ogle, The Isotopic Signature of </w:t>
      </w:r>
      <w:r w:rsidRPr="008004A9">
        <w:rPr>
          <w:rFonts w:ascii="Times New Roman" w:hAnsi="Times New Roman" w:cs="Times New Roman"/>
          <w:sz w:val="24"/>
          <w:szCs w:val="24"/>
        </w:rPr>
        <w:t>Classical Marbles (L’Erma di Bretschneider, Rome, 2006)</w:t>
      </w:r>
    </w:p>
    <w:p w:rsidR="00083383" w:rsidRP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sz w:val="24"/>
          <w:szCs w:val="24"/>
          <w:lang w:val="en-US"/>
        </w:rPr>
        <w:t>10. H. Craig, V. Craig, Science 176, 401–403 (1972)</w:t>
      </w:r>
    </w:p>
    <w:p w:rsidR="00083383" w:rsidRP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11. N.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Herz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Archaeometry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29, 35–43 (1987)</w:t>
      </w:r>
    </w:p>
    <w:p w:rsidR="00083383" w:rsidRP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083383">
        <w:rPr>
          <w:rFonts w:ascii="Times New Roman" w:hAnsi="Times New Roman" w:cs="Times New Roman"/>
          <w:sz w:val="24"/>
          <w:szCs w:val="24"/>
          <w:lang w:val="en-US"/>
        </w:rPr>
        <w:t>12. K. Al-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Bashaireh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>, A.Q. Al-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Housanb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, J. Cult. </w:t>
      </w:r>
      <w:proofErr w:type="spellStart"/>
      <w:proofErr w:type="gramStart"/>
      <w:r w:rsidRPr="00083383">
        <w:rPr>
          <w:rFonts w:ascii="Times New Roman" w:hAnsi="Times New Roman" w:cs="Times New Roman"/>
          <w:sz w:val="24"/>
          <w:szCs w:val="24"/>
          <w:lang w:val="en-US"/>
        </w:rPr>
        <w:t>Herit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04A9">
        <w:rPr>
          <w:rFonts w:ascii="Times New Roman" w:hAnsi="Times New Roman" w:cs="Times New Roman"/>
          <w:sz w:val="24"/>
          <w:szCs w:val="24"/>
        </w:rPr>
        <w:t xml:space="preserve">16, 591–596 </w:t>
      </w:r>
      <w:r w:rsidRPr="00083383">
        <w:rPr>
          <w:rFonts w:ascii="Times New Roman" w:hAnsi="Times New Roman" w:cs="Times New Roman"/>
          <w:sz w:val="24"/>
          <w:szCs w:val="24"/>
        </w:rPr>
        <w:t>(2015)</w:t>
      </w:r>
    </w:p>
    <w:p w:rsidR="00083383" w:rsidRP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083383">
        <w:rPr>
          <w:rFonts w:ascii="Times New Roman" w:hAnsi="Times New Roman" w:cs="Times New Roman"/>
          <w:sz w:val="24"/>
          <w:szCs w:val="24"/>
        </w:rPr>
        <w:t xml:space="preserve">13. M. Lezzerini, S. Legnaioli, </w:t>
      </w:r>
      <w:r w:rsidR="008004A9">
        <w:rPr>
          <w:rFonts w:ascii="Times New Roman" w:hAnsi="Times New Roman" w:cs="Times New Roman"/>
          <w:sz w:val="24"/>
          <w:szCs w:val="24"/>
        </w:rPr>
        <w:t xml:space="preserve">G. Lorenzetti, V. Palleschi, M. </w:t>
      </w:r>
      <w:r w:rsidRPr="00083383">
        <w:rPr>
          <w:rFonts w:ascii="Times New Roman" w:hAnsi="Times New Roman" w:cs="Times New Roman"/>
          <w:sz w:val="24"/>
          <w:szCs w:val="24"/>
        </w:rPr>
        <w:t>Tamponi, Constr. Build. Mater. 69, 203–212 (2014)</w:t>
      </w:r>
    </w:p>
    <w:p w:rsidR="00083383" w:rsidRP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083383">
        <w:rPr>
          <w:rFonts w:ascii="Times New Roman" w:hAnsi="Times New Roman" w:cs="Times New Roman"/>
          <w:sz w:val="24"/>
          <w:szCs w:val="24"/>
        </w:rPr>
        <w:t>14. M. Lezzerini, F. Antonelli, S. Co</w:t>
      </w:r>
      <w:r w:rsidR="008004A9">
        <w:rPr>
          <w:rFonts w:ascii="Times New Roman" w:hAnsi="Times New Roman" w:cs="Times New Roman"/>
          <w:sz w:val="24"/>
          <w:szCs w:val="24"/>
        </w:rPr>
        <w:t xml:space="preserve">lumbu, R. Gadducci, A. Marradi, </w:t>
      </w:r>
      <w:r w:rsidRPr="00083383">
        <w:rPr>
          <w:rFonts w:ascii="Times New Roman" w:hAnsi="Times New Roman" w:cs="Times New Roman"/>
          <w:sz w:val="24"/>
          <w:szCs w:val="24"/>
        </w:rPr>
        <w:t>D. Miriello, L. Parodi, L. Secch</w:t>
      </w:r>
      <w:r w:rsidR="008004A9">
        <w:rPr>
          <w:rFonts w:ascii="Times New Roman" w:hAnsi="Times New Roman" w:cs="Times New Roman"/>
          <w:sz w:val="24"/>
          <w:szCs w:val="24"/>
        </w:rPr>
        <w:t xml:space="preserve">iari, A. Lazzeri, Int. J. Arch. </w:t>
      </w:r>
      <w:r w:rsidRPr="00083383">
        <w:rPr>
          <w:rFonts w:ascii="Times New Roman" w:hAnsi="Times New Roman" w:cs="Times New Roman"/>
          <w:sz w:val="24"/>
          <w:szCs w:val="24"/>
        </w:rPr>
        <w:t>Herit. 10, 9–19 (2016)</w:t>
      </w:r>
    </w:p>
    <w:p w:rsidR="008004A9" w:rsidRDefault="00083383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083383">
        <w:rPr>
          <w:rFonts w:ascii="Times New Roman" w:hAnsi="Times New Roman" w:cs="Times New Roman"/>
          <w:sz w:val="24"/>
          <w:szCs w:val="24"/>
        </w:rPr>
        <w:t>15. G. Giuliani, in L’Aratro e il Calamo</w:t>
      </w:r>
      <w:r w:rsidR="008004A9">
        <w:rPr>
          <w:rFonts w:ascii="Times New Roman" w:hAnsi="Times New Roman" w:cs="Times New Roman"/>
          <w:sz w:val="24"/>
          <w:szCs w:val="24"/>
        </w:rPr>
        <w:t xml:space="preserve">. Benedettini e Cistercensi sul </w:t>
      </w:r>
      <w:r w:rsidRPr="00083383">
        <w:rPr>
          <w:rFonts w:ascii="Times New Roman" w:hAnsi="Times New Roman" w:cs="Times New Roman"/>
          <w:sz w:val="24"/>
          <w:szCs w:val="24"/>
        </w:rPr>
        <w:t>Monte Pisano ed. by S. Gelichi, A</w:t>
      </w:r>
      <w:r w:rsidR="008004A9">
        <w:rPr>
          <w:rFonts w:ascii="Times New Roman" w:hAnsi="Times New Roman" w:cs="Times New Roman"/>
          <w:sz w:val="24"/>
          <w:szCs w:val="24"/>
        </w:rPr>
        <w:t>. Alberti (Felici, Pisa, 2005), pp. 11–33</w:t>
      </w:r>
    </w:p>
    <w:p w:rsidR="00083383" w:rsidRP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083383">
        <w:rPr>
          <w:rFonts w:ascii="Times New Roman" w:hAnsi="Times New Roman" w:cs="Times New Roman"/>
          <w:sz w:val="24"/>
          <w:szCs w:val="24"/>
        </w:rPr>
        <w:t>16. G. Garzella, Pisa com’era: topo</w:t>
      </w:r>
      <w:r w:rsidR="008004A9">
        <w:rPr>
          <w:rFonts w:ascii="Times New Roman" w:hAnsi="Times New Roman" w:cs="Times New Roman"/>
          <w:sz w:val="24"/>
          <w:szCs w:val="24"/>
        </w:rPr>
        <w:t xml:space="preserve">grafia e insediamento (Liguori, </w:t>
      </w:r>
      <w:r w:rsidRPr="00083383">
        <w:rPr>
          <w:rFonts w:ascii="Times New Roman" w:hAnsi="Times New Roman" w:cs="Times New Roman"/>
          <w:sz w:val="24"/>
          <w:szCs w:val="24"/>
        </w:rPr>
        <w:t>Napoli, 1990)</w:t>
      </w:r>
    </w:p>
    <w:p w:rsidR="008004A9" w:rsidRDefault="00083383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083383">
        <w:rPr>
          <w:rFonts w:ascii="Times New Roman" w:hAnsi="Times New Roman" w:cs="Times New Roman"/>
          <w:sz w:val="24"/>
          <w:szCs w:val="24"/>
        </w:rPr>
        <w:t>17. P. Pierotti, L. Benassi, Deotisalvi. L’architetto pisano del secolo</w:t>
      </w:r>
      <w:r w:rsidR="008004A9">
        <w:rPr>
          <w:rFonts w:ascii="Times New Roman" w:hAnsi="Times New Roman" w:cs="Times New Roman"/>
          <w:sz w:val="24"/>
          <w:szCs w:val="24"/>
        </w:rPr>
        <w:t xml:space="preserve"> </w:t>
      </w:r>
      <w:r w:rsidRPr="00083383">
        <w:rPr>
          <w:rFonts w:ascii="Times New Roman" w:hAnsi="Times New Roman" w:cs="Times New Roman"/>
          <w:sz w:val="24"/>
          <w:szCs w:val="24"/>
        </w:rPr>
        <w:t>d’oro (Pisa, Pacini, 2001), p. 240</w:t>
      </w:r>
    </w:p>
    <w:p w:rsidR="00083383" w:rsidRPr="008004A9" w:rsidRDefault="00083383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18. G.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Rohault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de Fleury, Les monuments Pisans au </w:t>
      </w:r>
      <w:proofErr w:type="spellStart"/>
      <w:r w:rsidRPr="00083383">
        <w:rPr>
          <w:rFonts w:ascii="Times New Roman" w:hAnsi="Times New Roman" w:cs="Times New Roman"/>
          <w:sz w:val="24"/>
          <w:szCs w:val="24"/>
          <w:lang w:val="en-US"/>
        </w:rPr>
        <w:t>Moyen</w:t>
      </w:r>
      <w:proofErr w:type="spellEnd"/>
      <w:r w:rsidRPr="00083383">
        <w:rPr>
          <w:rFonts w:ascii="Times New Roman" w:hAnsi="Times New Roman" w:cs="Times New Roman"/>
          <w:sz w:val="24"/>
          <w:szCs w:val="24"/>
          <w:lang w:val="en-US"/>
        </w:rPr>
        <w:t xml:space="preserve"> Age</w:t>
      </w:r>
      <w:r w:rsidR="008004A9" w:rsidRPr="00800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(Paris, 1866)</w:t>
      </w:r>
    </w:p>
    <w:p w:rsidR="008004A9" w:rsidRDefault="00083383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083383">
        <w:rPr>
          <w:rFonts w:ascii="Times New Roman" w:hAnsi="Times New Roman" w:cs="Times New Roman"/>
          <w:sz w:val="24"/>
          <w:szCs w:val="24"/>
        </w:rPr>
        <w:t>19. J.A. Quiro´s-Castillo, in IV Con</w:t>
      </w:r>
      <w:r w:rsidR="008004A9">
        <w:rPr>
          <w:rFonts w:ascii="Times New Roman" w:hAnsi="Times New Roman" w:cs="Times New Roman"/>
          <w:sz w:val="24"/>
          <w:szCs w:val="24"/>
        </w:rPr>
        <w:t xml:space="preserve">gresso Nazionale di Archeologia </w:t>
      </w:r>
      <w:r w:rsidRPr="00083383">
        <w:rPr>
          <w:rFonts w:ascii="Times New Roman" w:hAnsi="Times New Roman" w:cs="Times New Roman"/>
          <w:sz w:val="24"/>
          <w:szCs w:val="24"/>
        </w:rPr>
        <w:t>Medievale, ed. by R. Francovi</w:t>
      </w:r>
      <w:r w:rsidR="008004A9">
        <w:rPr>
          <w:rFonts w:ascii="Times New Roman" w:hAnsi="Times New Roman" w:cs="Times New Roman"/>
          <w:sz w:val="24"/>
          <w:szCs w:val="24"/>
        </w:rPr>
        <w:t>ch, M. Valenti (All’Insegna del Giglio, Firenze, 2006), pp. 563–569</w:t>
      </w:r>
    </w:p>
    <w:p w:rsidR="00083383" w:rsidRP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083383">
        <w:rPr>
          <w:rFonts w:ascii="Times New Roman" w:hAnsi="Times New Roman" w:cs="Times New Roman"/>
          <w:sz w:val="24"/>
          <w:szCs w:val="24"/>
        </w:rPr>
        <w:t>20. M.L. Testi Cristiani, Nicola Pis</w:t>
      </w:r>
      <w:r w:rsidR="008004A9">
        <w:rPr>
          <w:rFonts w:ascii="Times New Roman" w:hAnsi="Times New Roman" w:cs="Times New Roman"/>
          <w:sz w:val="24"/>
          <w:szCs w:val="24"/>
        </w:rPr>
        <w:t xml:space="preserve">ano, architetto scultore. Dalle </w:t>
      </w:r>
      <w:r w:rsidRPr="00083383">
        <w:rPr>
          <w:rFonts w:ascii="Times New Roman" w:hAnsi="Times New Roman" w:cs="Times New Roman"/>
          <w:sz w:val="24"/>
          <w:szCs w:val="24"/>
        </w:rPr>
        <w:t>origini al pulpito del battistero di Pisa (Pacini, Pisa, 1987)</w:t>
      </w:r>
    </w:p>
    <w:p w:rsidR="00083383" w:rsidRPr="00083383" w:rsidRDefault="00083383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sz w:val="24"/>
          <w:szCs w:val="24"/>
        </w:rPr>
        <w:t xml:space="preserve">21. A. Baldanza, A. Gioncada, M. Lezzerini, Period. </w:t>
      </w:r>
      <w:proofErr w:type="gramStart"/>
      <w:r w:rsidR="008004A9">
        <w:rPr>
          <w:rFonts w:ascii="Times New Roman" w:hAnsi="Times New Roman" w:cs="Times New Roman"/>
          <w:sz w:val="24"/>
          <w:szCs w:val="24"/>
          <w:lang w:val="en-US"/>
        </w:rPr>
        <w:t>Miner.</w:t>
      </w:r>
      <w:proofErr w:type="gramEnd"/>
      <w:r w:rsidR="008004A9">
        <w:rPr>
          <w:rFonts w:ascii="Times New Roman" w:hAnsi="Times New Roman" w:cs="Times New Roman"/>
          <w:sz w:val="24"/>
          <w:szCs w:val="24"/>
          <w:lang w:val="en-US"/>
        </w:rPr>
        <w:t xml:space="preserve"> 81, 1–17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(2012)</w:t>
      </w:r>
    </w:p>
    <w:p w:rsidR="008004A9" w:rsidRDefault="00083383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3383">
        <w:rPr>
          <w:rFonts w:ascii="Times New Roman" w:hAnsi="Times New Roman" w:cs="Times New Roman"/>
          <w:sz w:val="24"/>
          <w:szCs w:val="24"/>
        </w:rPr>
        <w:t xml:space="preserve">22. M. Franzini, M. Lezzerini, Eur. J. Miner. </w:t>
      </w:r>
      <w:r w:rsidRPr="00083383">
        <w:rPr>
          <w:rFonts w:ascii="Times New Roman" w:hAnsi="Times New Roman" w:cs="Times New Roman"/>
          <w:sz w:val="24"/>
          <w:szCs w:val="24"/>
          <w:lang w:val="en-US"/>
        </w:rPr>
        <w:t>15, 217–224 (2003)</w:t>
      </w:r>
    </w:p>
    <w:p w:rsidR="008004A9" w:rsidRPr="008004A9" w:rsidRDefault="008004A9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8004A9">
        <w:rPr>
          <w:rFonts w:ascii="Times New Roman" w:hAnsi="Times New Roman" w:cs="Times New Roman"/>
          <w:sz w:val="24"/>
          <w:szCs w:val="24"/>
        </w:rPr>
        <w:t xml:space="preserve">23. M. Franzini, M. Lezzerini, </w:t>
      </w:r>
      <w:r>
        <w:rPr>
          <w:rFonts w:ascii="Times New Roman" w:hAnsi="Times New Roman" w:cs="Times New Roman"/>
          <w:sz w:val="24"/>
          <w:szCs w:val="24"/>
        </w:rPr>
        <w:t xml:space="preserve">L. Mannella, Eur. J. Miner. 13, </w:t>
      </w:r>
      <w:r w:rsidRPr="008004A9">
        <w:rPr>
          <w:rFonts w:ascii="Times New Roman" w:hAnsi="Times New Roman" w:cs="Times New Roman"/>
          <w:sz w:val="24"/>
          <w:szCs w:val="24"/>
        </w:rPr>
        <w:t>187–195 (2001)</w:t>
      </w:r>
    </w:p>
    <w:p w:rsidR="008004A9" w:rsidRPr="008004A9" w:rsidRDefault="008004A9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8004A9">
        <w:rPr>
          <w:rFonts w:ascii="Times New Roman" w:hAnsi="Times New Roman" w:cs="Times New Roman"/>
          <w:sz w:val="24"/>
          <w:szCs w:val="24"/>
        </w:rPr>
        <w:t>24. M. Lezzerini, Memorie Serie A 110, 43–50 (2005)</w:t>
      </w:r>
    </w:p>
    <w:p w:rsidR="008004A9" w:rsidRPr="008004A9" w:rsidRDefault="008004A9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04A9">
        <w:rPr>
          <w:rFonts w:ascii="Times New Roman" w:hAnsi="Times New Roman" w:cs="Times New Roman"/>
          <w:sz w:val="24"/>
          <w:szCs w:val="24"/>
          <w:lang w:val="en-US"/>
        </w:rPr>
        <w:t xml:space="preserve">25. L. </w:t>
      </w:r>
      <w:proofErr w:type="spellStart"/>
      <w:r w:rsidRPr="008004A9">
        <w:rPr>
          <w:rFonts w:ascii="Times New Roman" w:hAnsi="Times New Roman" w:cs="Times New Roman"/>
          <w:sz w:val="24"/>
          <w:szCs w:val="24"/>
          <w:lang w:val="en-US"/>
        </w:rPr>
        <w:t>Moens</w:t>
      </w:r>
      <w:proofErr w:type="spellEnd"/>
      <w:r w:rsidRPr="008004A9">
        <w:rPr>
          <w:rFonts w:ascii="Times New Roman" w:hAnsi="Times New Roman" w:cs="Times New Roman"/>
          <w:sz w:val="24"/>
          <w:szCs w:val="24"/>
          <w:lang w:val="en-US"/>
        </w:rPr>
        <w:t xml:space="preserve">, P. De </w:t>
      </w:r>
      <w:proofErr w:type="spellStart"/>
      <w:r w:rsidRPr="008004A9">
        <w:rPr>
          <w:rFonts w:ascii="Times New Roman" w:hAnsi="Times New Roman" w:cs="Times New Roman"/>
          <w:sz w:val="24"/>
          <w:szCs w:val="24"/>
          <w:lang w:val="en-US"/>
        </w:rPr>
        <w:t>Paepe</w:t>
      </w:r>
      <w:proofErr w:type="spellEnd"/>
      <w:r w:rsidRPr="008004A9">
        <w:rPr>
          <w:rFonts w:ascii="Times New Roman" w:hAnsi="Times New Roman" w:cs="Times New Roman"/>
          <w:sz w:val="24"/>
          <w:szCs w:val="24"/>
          <w:lang w:val="en-US"/>
        </w:rPr>
        <w:t xml:space="preserve">, M. </w:t>
      </w:r>
      <w:proofErr w:type="spellStart"/>
      <w:r w:rsidRPr="008004A9">
        <w:rPr>
          <w:rFonts w:ascii="Times New Roman" w:hAnsi="Times New Roman" w:cs="Times New Roman"/>
          <w:sz w:val="24"/>
          <w:szCs w:val="24"/>
          <w:lang w:val="en-US"/>
        </w:rPr>
        <w:t>Waelkens</w:t>
      </w:r>
      <w:proofErr w:type="spellEnd"/>
      <w:r w:rsidRPr="008004A9">
        <w:rPr>
          <w:rFonts w:ascii="Times New Roman" w:hAnsi="Times New Roman" w:cs="Times New Roman"/>
          <w:sz w:val="24"/>
          <w:szCs w:val="24"/>
          <w:lang w:val="en-US"/>
        </w:rPr>
        <w:t xml:space="preserve">, in Ancient Stones: Quarrying, Trade and Provenance,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ed. by M.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Waelkens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N.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Herz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L. </w:t>
      </w:r>
      <w:proofErr w:type="spellStart"/>
      <w:r w:rsidRPr="008004A9">
        <w:rPr>
          <w:rFonts w:ascii="Times New Roman" w:hAnsi="Times New Roman" w:cs="Times New Roman"/>
          <w:sz w:val="24"/>
          <w:szCs w:val="24"/>
          <w:lang w:val="en-US"/>
        </w:rPr>
        <w:t>Moens</w:t>
      </w:r>
      <w:proofErr w:type="spellEnd"/>
      <w:r w:rsidRPr="008004A9">
        <w:rPr>
          <w:rFonts w:ascii="Times New Roman" w:hAnsi="Times New Roman" w:cs="Times New Roman"/>
          <w:sz w:val="24"/>
          <w:szCs w:val="24"/>
          <w:lang w:val="en-US"/>
        </w:rPr>
        <w:t xml:space="preserve"> (University Press, Leuven, 1992), pp. 247–255</w:t>
      </w:r>
    </w:p>
    <w:p w:rsidR="008004A9" w:rsidRPr="008004A9" w:rsidRDefault="008004A9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04A9">
        <w:rPr>
          <w:rFonts w:ascii="Times New Roman" w:hAnsi="Times New Roman" w:cs="Times New Roman"/>
          <w:sz w:val="24"/>
          <w:szCs w:val="24"/>
          <w:lang w:val="en-US"/>
        </w:rPr>
        <w:t xml:space="preserve">26. C. </w:t>
      </w:r>
      <w:proofErr w:type="spellStart"/>
      <w:r w:rsidRPr="008004A9">
        <w:rPr>
          <w:rFonts w:ascii="Times New Roman" w:hAnsi="Times New Roman" w:cs="Times New Roman"/>
          <w:sz w:val="24"/>
          <w:szCs w:val="24"/>
          <w:lang w:val="en-US"/>
        </w:rPr>
        <w:t>Gorgoni</w:t>
      </w:r>
      <w:proofErr w:type="spellEnd"/>
      <w:r w:rsidRPr="008004A9">
        <w:rPr>
          <w:rFonts w:ascii="Times New Roman" w:hAnsi="Times New Roman" w:cs="Times New Roman"/>
          <w:sz w:val="24"/>
          <w:szCs w:val="24"/>
          <w:lang w:val="en-US"/>
        </w:rPr>
        <w:t xml:space="preserve">, L. </w:t>
      </w:r>
      <w:proofErr w:type="spellStart"/>
      <w:r w:rsidRPr="008004A9">
        <w:rPr>
          <w:rFonts w:ascii="Times New Roman" w:hAnsi="Times New Roman" w:cs="Times New Roman"/>
          <w:sz w:val="24"/>
          <w:szCs w:val="24"/>
          <w:lang w:val="en-US"/>
        </w:rPr>
        <w:t>Lazzarini</w:t>
      </w:r>
      <w:proofErr w:type="spellEnd"/>
      <w:r w:rsidRPr="008004A9">
        <w:rPr>
          <w:rFonts w:ascii="Times New Roman" w:hAnsi="Times New Roman" w:cs="Times New Roman"/>
          <w:sz w:val="24"/>
          <w:szCs w:val="24"/>
          <w:lang w:val="en-US"/>
        </w:rPr>
        <w:t xml:space="preserve">, P. </w:t>
      </w:r>
      <w:proofErr w:type="spellStart"/>
      <w:r w:rsidRPr="008004A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004A9">
        <w:rPr>
          <w:rFonts w:ascii="Times New Roman" w:hAnsi="Times New Roman" w:cs="Times New Roman"/>
          <w:sz w:val="24"/>
          <w:szCs w:val="24"/>
          <w:lang w:val="en-US"/>
        </w:rPr>
        <w:t>allante</w:t>
      </w:r>
      <w:proofErr w:type="spellEnd"/>
      <w:r w:rsidRPr="008004A9">
        <w:rPr>
          <w:rFonts w:ascii="Times New Roman" w:hAnsi="Times New Roman" w:cs="Times New Roman"/>
          <w:sz w:val="24"/>
          <w:szCs w:val="24"/>
          <w:lang w:val="en-US"/>
        </w:rPr>
        <w:t xml:space="preserve">, B. </w:t>
      </w:r>
      <w:proofErr w:type="spellStart"/>
      <w:r w:rsidRPr="008004A9">
        <w:rPr>
          <w:rFonts w:ascii="Times New Roman" w:hAnsi="Times New Roman" w:cs="Times New Roman"/>
          <w:sz w:val="24"/>
          <w:szCs w:val="24"/>
          <w:lang w:val="en-US"/>
        </w:rPr>
        <w:t>Turi</w:t>
      </w:r>
      <w:proofErr w:type="spellEnd"/>
      <w:r w:rsidRPr="008004A9">
        <w:rPr>
          <w:rFonts w:ascii="Times New Roman" w:hAnsi="Times New Roman" w:cs="Times New Roman"/>
          <w:sz w:val="24"/>
          <w:szCs w:val="24"/>
          <w:lang w:val="en-US"/>
        </w:rPr>
        <w:t xml:space="preserve">, in </w:t>
      </w:r>
      <w:proofErr w:type="spellStart"/>
      <w:r w:rsidRPr="008004A9">
        <w:rPr>
          <w:rFonts w:ascii="Times New Roman" w:hAnsi="Times New Roman" w:cs="Times New Roman"/>
          <w:sz w:val="24"/>
          <w:szCs w:val="24"/>
          <w:lang w:val="en-US"/>
        </w:rPr>
        <w:t>Asmosia</w:t>
      </w:r>
      <w:proofErr w:type="spellEnd"/>
      <w:r w:rsidRPr="008004A9">
        <w:rPr>
          <w:rFonts w:ascii="Times New Roman" w:hAnsi="Times New Roman" w:cs="Times New Roman"/>
          <w:sz w:val="24"/>
          <w:szCs w:val="24"/>
          <w:lang w:val="en-US"/>
        </w:rPr>
        <w:t xml:space="preserve"> 5: </w:t>
      </w:r>
      <w:r w:rsidRPr="008004A9">
        <w:rPr>
          <w:rFonts w:ascii="Times New Roman" w:hAnsi="Times New Roman" w:cs="Times New Roman"/>
          <w:sz w:val="24"/>
          <w:szCs w:val="24"/>
          <w:lang w:val="en-US"/>
        </w:rPr>
        <w:t>Interdisciplinary Studies on Ancie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nt Stone, ed. by J.J. Herrmann, </w:t>
      </w:r>
      <w:r w:rsidRPr="008004A9">
        <w:rPr>
          <w:rFonts w:ascii="Times New Roman" w:hAnsi="Times New Roman" w:cs="Times New Roman"/>
          <w:sz w:val="24"/>
          <w:szCs w:val="24"/>
          <w:lang w:val="en-US"/>
        </w:rPr>
        <w:t xml:space="preserve">N. </w:t>
      </w:r>
      <w:proofErr w:type="spellStart"/>
      <w:r w:rsidRPr="008004A9">
        <w:rPr>
          <w:rFonts w:ascii="Times New Roman" w:hAnsi="Times New Roman" w:cs="Times New Roman"/>
          <w:sz w:val="24"/>
          <w:szCs w:val="24"/>
          <w:lang w:val="en-US"/>
        </w:rPr>
        <w:t>Herz</w:t>
      </w:r>
      <w:proofErr w:type="spellEnd"/>
      <w:r w:rsidRPr="008004A9">
        <w:rPr>
          <w:rFonts w:ascii="Times New Roman" w:hAnsi="Times New Roman" w:cs="Times New Roman"/>
          <w:sz w:val="24"/>
          <w:szCs w:val="24"/>
          <w:lang w:val="en-US"/>
        </w:rPr>
        <w:t>, R. Newman (Archetype, London, 2002), pp. 115–131</w:t>
      </w:r>
    </w:p>
    <w:p w:rsidR="008004A9" w:rsidRPr="008004A9" w:rsidRDefault="008004A9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04A9">
        <w:rPr>
          <w:rFonts w:ascii="Times New Roman" w:hAnsi="Times New Roman" w:cs="Times New Roman"/>
          <w:sz w:val="24"/>
          <w:szCs w:val="24"/>
        </w:rPr>
        <w:t xml:space="preserve">27. S. Capedri, G. Venturelli, A. Photiades, J. Cult.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Herit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5, 27–47 </w:t>
      </w:r>
      <w:r w:rsidRPr="008004A9">
        <w:rPr>
          <w:rFonts w:ascii="Times New Roman" w:hAnsi="Times New Roman" w:cs="Times New Roman"/>
          <w:sz w:val="24"/>
          <w:szCs w:val="24"/>
          <w:lang w:val="en-US"/>
        </w:rPr>
        <w:t>(2004)</w:t>
      </w:r>
    </w:p>
    <w:p w:rsidR="008004A9" w:rsidRDefault="008004A9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04A9">
        <w:rPr>
          <w:rFonts w:ascii="Times New Roman" w:hAnsi="Times New Roman" w:cs="Times New Roman"/>
          <w:sz w:val="24"/>
          <w:szCs w:val="24"/>
          <w:lang w:val="en-US"/>
        </w:rPr>
        <w:t>28. C.K. Wentworth, J. Geol. 30, 377–392 (1922)</w:t>
      </w:r>
    </w:p>
    <w:p w:rsidR="008004A9" w:rsidRPr="008004A9" w:rsidRDefault="008004A9" w:rsidP="00AB3E3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004A9">
        <w:rPr>
          <w:rFonts w:ascii="Times New Roman" w:hAnsi="Times New Roman" w:cs="Times New Roman"/>
          <w:sz w:val="24"/>
          <w:szCs w:val="24"/>
        </w:rPr>
        <w:t xml:space="preserve">29. J.M. McCrea, J. Chem. </w:t>
      </w:r>
      <w:r w:rsidRPr="008004A9">
        <w:rPr>
          <w:rFonts w:ascii="Times New Roman" w:hAnsi="Times New Roman" w:cs="Times New Roman"/>
          <w:sz w:val="24"/>
          <w:szCs w:val="24"/>
          <w:lang w:val="en-US"/>
        </w:rPr>
        <w:t>Phys. 18, 849 (1950)</w:t>
      </w:r>
    </w:p>
    <w:p w:rsidR="008004A9" w:rsidRPr="008004A9" w:rsidRDefault="008004A9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8004A9">
        <w:rPr>
          <w:rFonts w:ascii="Times New Roman" w:hAnsi="Times New Roman" w:cs="Times New Roman"/>
          <w:sz w:val="24"/>
          <w:szCs w:val="24"/>
          <w:lang w:val="en-US"/>
        </w:rPr>
        <w:t xml:space="preserve">30. H. Craig, Geochem. </w:t>
      </w:r>
      <w:proofErr w:type="spellStart"/>
      <w:proofErr w:type="gramStart"/>
      <w:r w:rsidRPr="008004A9">
        <w:rPr>
          <w:rFonts w:ascii="Times New Roman" w:hAnsi="Times New Roman" w:cs="Times New Roman"/>
          <w:sz w:val="24"/>
          <w:szCs w:val="24"/>
          <w:lang w:val="en-US"/>
        </w:rPr>
        <w:t>Cosmochem</w:t>
      </w:r>
      <w:proofErr w:type="spellEnd"/>
      <w:r w:rsidRPr="008004A9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8004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04A9">
        <w:rPr>
          <w:rFonts w:ascii="Times New Roman" w:hAnsi="Times New Roman" w:cs="Times New Roman"/>
          <w:sz w:val="24"/>
          <w:szCs w:val="24"/>
        </w:rPr>
        <w:t>Acta 12, 133 (1957)</w:t>
      </w:r>
    </w:p>
    <w:p w:rsidR="008004A9" w:rsidRPr="008004A9" w:rsidRDefault="008004A9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8004A9">
        <w:rPr>
          <w:rFonts w:ascii="Times New Roman" w:hAnsi="Times New Roman" w:cs="Times New Roman"/>
          <w:sz w:val="24"/>
          <w:szCs w:val="24"/>
        </w:rPr>
        <w:t>31. L. Lazzarini, F. Antonelli, Archaeometry 45, 541–552 (2003)</w:t>
      </w:r>
    </w:p>
    <w:p w:rsidR="008004A9" w:rsidRPr="008004A9" w:rsidRDefault="008004A9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8004A9">
        <w:rPr>
          <w:rFonts w:ascii="Times New Roman" w:hAnsi="Times New Roman" w:cs="Times New Roman"/>
          <w:sz w:val="24"/>
          <w:szCs w:val="24"/>
        </w:rPr>
        <w:t>32. M. Franzini, M. Lezzerini, F. Origlia, Eur. J. Miner. 22, 881–893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04A9">
        <w:rPr>
          <w:rFonts w:ascii="Times New Roman" w:hAnsi="Times New Roman" w:cs="Times New Roman"/>
          <w:sz w:val="24"/>
          <w:szCs w:val="24"/>
        </w:rPr>
        <w:t>(2010)</w:t>
      </w:r>
    </w:p>
    <w:p w:rsidR="008004A9" w:rsidRPr="008004A9" w:rsidRDefault="008004A9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8004A9">
        <w:rPr>
          <w:rFonts w:ascii="Times New Roman" w:hAnsi="Times New Roman" w:cs="Times New Roman"/>
          <w:sz w:val="24"/>
          <w:szCs w:val="24"/>
        </w:rPr>
        <w:lastRenderedPageBreak/>
        <w:t>33. M. Lezzerini, G. Di Battistini, D. Z</w:t>
      </w:r>
      <w:r>
        <w:rPr>
          <w:rFonts w:ascii="Times New Roman" w:hAnsi="Times New Roman" w:cs="Times New Roman"/>
          <w:sz w:val="24"/>
          <w:szCs w:val="24"/>
        </w:rPr>
        <w:t xml:space="preserve">ucchi, D. Miriello, Appl. Phys. </w:t>
      </w:r>
      <w:r w:rsidRPr="008004A9">
        <w:rPr>
          <w:rFonts w:ascii="Times New Roman" w:hAnsi="Times New Roman" w:cs="Times New Roman"/>
          <w:sz w:val="24"/>
          <w:szCs w:val="24"/>
        </w:rPr>
        <w:t>A 108, 475–485 (2012)</w:t>
      </w:r>
    </w:p>
    <w:p w:rsidR="008004A9" w:rsidRDefault="008004A9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8004A9">
        <w:rPr>
          <w:rFonts w:ascii="Times New Roman" w:hAnsi="Times New Roman" w:cs="Times New Roman"/>
          <w:sz w:val="24"/>
          <w:szCs w:val="24"/>
        </w:rPr>
        <w:t xml:space="preserve">34. G. Tedeschi-Grisanti, in Niveo </w:t>
      </w:r>
      <w:r>
        <w:rPr>
          <w:rFonts w:ascii="Times New Roman" w:hAnsi="Times New Roman" w:cs="Times New Roman"/>
          <w:sz w:val="24"/>
          <w:szCs w:val="24"/>
        </w:rPr>
        <w:t xml:space="preserve">de marmore: l’uso artistico del </w:t>
      </w:r>
      <w:r w:rsidRPr="008004A9">
        <w:rPr>
          <w:rFonts w:ascii="Times New Roman" w:hAnsi="Times New Roman" w:cs="Times New Roman"/>
          <w:sz w:val="24"/>
          <w:szCs w:val="24"/>
        </w:rPr>
        <w:t xml:space="preserve">marmo di Carrara dall’XI </w:t>
      </w:r>
      <w:r>
        <w:rPr>
          <w:rFonts w:ascii="Times New Roman" w:hAnsi="Times New Roman" w:cs="Times New Roman"/>
          <w:sz w:val="24"/>
          <w:szCs w:val="24"/>
        </w:rPr>
        <w:t xml:space="preserve">al XV secolo, ed. E. Castelnovo </w:t>
      </w:r>
      <w:r w:rsidRPr="008004A9">
        <w:rPr>
          <w:rFonts w:ascii="Times New Roman" w:hAnsi="Times New Roman" w:cs="Times New Roman"/>
          <w:sz w:val="24"/>
          <w:szCs w:val="24"/>
        </w:rPr>
        <w:t>(Car</w:t>
      </w:r>
      <w:r>
        <w:rPr>
          <w:rFonts w:ascii="Times New Roman" w:hAnsi="Times New Roman" w:cs="Times New Roman"/>
          <w:sz w:val="24"/>
          <w:szCs w:val="24"/>
        </w:rPr>
        <w:t>rocci, Genova, 1992), pp. 43–51</w:t>
      </w:r>
    </w:p>
    <w:p w:rsidR="00AB3E36" w:rsidRDefault="008004A9" w:rsidP="00AB3E36">
      <w:pPr>
        <w:jc w:val="both"/>
        <w:rPr>
          <w:rFonts w:ascii="Times New Roman" w:hAnsi="Times New Roman" w:cs="Times New Roman"/>
          <w:sz w:val="24"/>
          <w:szCs w:val="24"/>
        </w:rPr>
      </w:pPr>
      <w:r w:rsidRPr="008004A9">
        <w:rPr>
          <w:rFonts w:ascii="Times New Roman" w:hAnsi="Times New Roman" w:cs="Times New Roman"/>
          <w:sz w:val="24"/>
          <w:szCs w:val="24"/>
        </w:rPr>
        <w:t>35. D. Poggi, L. Lazzarini, Marmora 1, 49–68 (2005)</w:t>
      </w:r>
    </w:p>
    <w:p w:rsidR="00AB3E36" w:rsidRPr="00AB3E36" w:rsidRDefault="00AB3E36" w:rsidP="00AB3E36">
      <w:pPr>
        <w:rPr>
          <w:rFonts w:ascii="Times New Roman" w:hAnsi="Times New Roman" w:cs="Times New Roman"/>
          <w:sz w:val="24"/>
          <w:szCs w:val="24"/>
        </w:rPr>
      </w:pPr>
    </w:p>
    <w:p w:rsidR="00AB3E36" w:rsidRPr="00AB3E36" w:rsidRDefault="00AB3E36" w:rsidP="00AB3E36">
      <w:pPr>
        <w:rPr>
          <w:rFonts w:ascii="Times New Roman" w:hAnsi="Times New Roman" w:cs="Times New Roman"/>
          <w:sz w:val="24"/>
          <w:szCs w:val="24"/>
        </w:rPr>
      </w:pPr>
    </w:p>
    <w:p w:rsidR="00AB3E36" w:rsidRDefault="00AB3E36" w:rsidP="00AB3E36">
      <w:pPr>
        <w:rPr>
          <w:rFonts w:ascii="Times New Roman" w:hAnsi="Times New Roman" w:cs="Times New Roman"/>
          <w:sz w:val="24"/>
          <w:szCs w:val="24"/>
        </w:rPr>
      </w:pPr>
    </w:p>
    <w:p w:rsidR="00083383" w:rsidRDefault="00083383" w:rsidP="00AB3E36">
      <w:pPr>
        <w:rPr>
          <w:rFonts w:ascii="Times New Roman" w:hAnsi="Times New Roman" w:cs="Times New Roman"/>
          <w:sz w:val="24"/>
          <w:szCs w:val="24"/>
        </w:rPr>
      </w:pPr>
    </w:p>
    <w:p w:rsidR="00AB3E36" w:rsidRDefault="00AB3E36" w:rsidP="00AB3E36">
      <w:pPr>
        <w:rPr>
          <w:rFonts w:ascii="Times New Roman" w:hAnsi="Times New Roman" w:cs="Times New Roman"/>
          <w:sz w:val="24"/>
          <w:szCs w:val="24"/>
        </w:rPr>
      </w:pPr>
    </w:p>
    <w:p w:rsidR="00AB3E36" w:rsidRDefault="00AB3E36" w:rsidP="00AB3E36">
      <w:pPr>
        <w:rPr>
          <w:rFonts w:ascii="Times New Roman" w:hAnsi="Times New Roman" w:cs="Times New Roman"/>
          <w:sz w:val="24"/>
          <w:szCs w:val="24"/>
        </w:rPr>
      </w:pPr>
    </w:p>
    <w:p w:rsidR="00AB3E36" w:rsidRDefault="00AB3E36" w:rsidP="00AB3E36">
      <w:pPr>
        <w:rPr>
          <w:rFonts w:ascii="Times New Roman" w:hAnsi="Times New Roman" w:cs="Times New Roman"/>
          <w:sz w:val="24"/>
          <w:szCs w:val="24"/>
        </w:rPr>
      </w:pPr>
    </w:p>
    <w:p w:rsidR="00AB3E36" w:rsidRDefault="00AB3E36" w:rsidP="00AB3E36">
      <w:pPr>
        <w:rPr>
          <w:rFonts w:ascii="Times New Roman" w:hAnsi="Times New Roman" w:cs="Times New Roman"/>
          <w:sz w:val="24"/>
          <w:szCs w:val="24"/>
        </w:rPr>
      </w:pPr>
    </w:p>
    <w:p w:rsidR="00AB3E36" w:rsidRDefault="00AB3E36" w:rsidP="00AB3E36">
      <w:pPr>
        <w:rPr>
          <w:rFonts w:ascii="Times New Roman" w:hAnsi="Times New Roman" w:cs="Times New Roman"/>
          <w:sz w:val="24"/>
          <w:szCs w:val="24"/>
        </w:rPr>
      </w:pPr>
    </w:p>
    <w:p w:rsidR="00AB3E36" w:rsidRDefault="00AB3E36" w:rsidP="00AB3E36">
      <w:pPr>
        <w:rPr>
          <w:rFonts w:ascii="Times New Roman" w:hAnsi="Times New Roman" w:cs="Times New Roman"/>
          <w:sz w:val="24"/>
          <w:szCs w:val="24"/>
        </w:rPr>
      </w:pPr>
    </w:p>
    <w:p w:rsidR="00AB3E36" w:rsidRDefault="00AB3E36" w:rsidP="00AB3E36">
      <w:pPr>
        <w:rPr>
          <w:rFonts w:ascii="Times New Roman" w:hAnsi="Times New Roman" w:cs="Times New Roman"/>
          <w:sz w:val="24"/>
          <w:szCs w:val="24"/>
        </w:rPr>
      </w:pPr>
    </w:p>
    <w:p w:rsidR="00AB3E36" w:rsidRDefault="00AB3E36" w:rsidP="00AB3E36">
      <w:pPr>
        <w:rPr>
          <w:rFonts w:ascii="Times New Roman" w:hAnsi="Times New Roman" w:cs="Times New Roman"/>
          <w:sz w:val="24"/>
          <w:szCs w:val="24"/>
        </w:rPr>
      </w:pPr>
    </w:p>
    <w:p w:rsidR="00AB3E36" w:rsidRDefault="00AB3E36" w:rsidP="00AB3E36">
      <w:pPr>
        <w:rPr>
          <w:rFonts w:ascii="Times New Roman" w:hAnsi="Times New Roman" w:cs="Times New Roman"/>
          <w:sz w:val="24"/>
          <w:szCs w:val="24"/>
        </w:rPr>
      </w:pPr>
    </w:p>
    <w:p w:rsidR="00AB3E36" w:rsidRDefault="00AB3E36" w:rsidP="00AB3E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E2B812D" wp14:editId="504D24DD">
            <wp:extent cx="4595853" cy="4794637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8877" cy="479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33" w:rsidRDefault="00DC1633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3805A0D" wp14:editId="7A563F48">
            <wp:extent cx="4222143" cy="5466145"/>
            <wp:effectExtent l="0" t="0" r="698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3851" cy="548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33" w:rsidRDefault="00DC1633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1633" w:rsidRDefault="00DC1633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2477D34B" wp14:editId="080B29A7">
            <wp:extent cx="4397071" cy="4985636"/>
            <wp:effectExtent l="0" t="0" r="381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9036" cy="499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33" w:rsidRDefault="00DC1633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EF900D0" wp14:editId="3F7668C7">
            <wp:extent cx="3859904" cy="5063557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0482" cy="506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33" w:rsidRDefault="00DC1633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1633" w:rsidRDefault="00DC1633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B5CA99B" wp14:editId="74066ABB">
            <wp:extent cx="4222143" cy="5361520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3468" cy="536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33" w:rsidRDefault="00DC1633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4CD3E990" wp14:editId="0A637550">
            <wp:extent cx="5612130" cy="292354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33" w:rsidRDefault="00DC1633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1633" w:rsidRDefault="00DC1633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1633" w:rsidRDefault="00DC1633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1633" w:rsidRDefault="00DC1633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1633" w:rsidRDefault="00DC1633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1633" w:rsidRDefault="00DC1633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1633" w:rsidRDefault="00DC1633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1633" w:rsidRDefault="00DC1633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1633" w:rsidRDefault="00BE0A6A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3989F354" wp14:editId="0D965549">
            <wp:extent cx="4267200" cy="50006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6A" w:rsidRDefault="00BE0A6A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A012B1D" wp14:editId="2D163D7C">
            <wp:extent cx="5612130" cy="5041900"/>
            <wp:effectExtent l="0" t="0" r="762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6A" w:rsidRDefault="00BE0A6A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0A6A" w:rsidRDefault="00BE0A6A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0A6A" w:rsidRDefault="00BE0A6A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0A6A" w:rsidRDefault="00BE0A6A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0A6A" w:rsidRDefault="00BE0A6A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1D74A92D" wp14:editId="31285B42">
            <wp:extent cx="4505325" cy="29051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6A" w:rsidRDefault="00BE0A6A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0A6A" w:rsidRDefault="00BE0A6A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0A6A" w:rsidRDefault="00BE0A6A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0A6A" w:rsidRDefault="00BE0A6A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0A6A" w:rsidRPr="00AB3E36" w:rsidRDefault="00BE0A6A" w:rsidP="00DC16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val="es-ES" w:eastAsia="es-ES"/>
        </w:rPr>
        <w:lastRenderedPageBreak/>
        <w:drawing>
          <wp:inline distT="0" distB="0" distL="0" distR="0" wp14:anchorId="54889933" wp14:editId="6CA914FF">
            <wp:extent cx="3626268" cy="3864334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57279"/>
                    <a:stretch/>
                  </pic:blipFill>
                  <pic:spPr bwMode="auto">
                    <a:xfrm>
                      <a:off x="0" y="0"/>
                      <a:ext cx="3628027" cy="3866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E0A6A" w:rsidRPr="00AB3E36" w:rsidSect="00C31E1B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8CF" w:rsidRDefault="004348CF" w:rsidP="00DC1633">
      <w:pPr>
        <w:spacing w:after="0" w:line="240" w:lineRule="auto"/>
      </w:pPr>
      <w:r>
        <w:separator/>
      </w:r>
    </w:p>
  </w:endnote>
  <w:endnote w:type="continuationSeparator" w:id="0">
    <w:p w:rsidR="004348CF" w:rsidRDefault="004348CF" w:rsidP="00DC1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8CF" w:rsidRDefault="004348CF" w:rsidP="00DC1633">
      <w:pPr>
        <w:spacing w:after="0" w:line="240" w:lineRule="auto"/>
      </w:pPr>
      <w:r>
        <w:separator/>
      </w:r>
    </w:p>
  </w:footnote>
  <w:footnote w:type="continuationSeparator" w:id="0">
    <w:p w:rsidR="004348CF" w:rsidRDefault="004348CF" w:rsidP="00DC16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797"/>
    <w:rsid w:val="00083383"/>
    <w:rsid w:val="001E297E"/>
    <w:rsid w:val="00416797"/>
    <w:rsid w:val="004348CF"/>
    <w:rsid w:val="004B7E12"/>
    <w:rsid w:val="008004A9"/>
    <w:rsid w:val="00AB3E36"/>
    <w:rsid w:val="00BE0A6A"/>
    <w:rsid w:val="00BE5723"/>
    <w:rsid w:val="00C31E1B"/>
    <w:rsid w:val="00DC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3E36"/>
    <w:rPr>
      <w:rFonts w:ascii="Tahoma" w:hAnsi="Tahoma" w:cs="Tahoma"/>
      <w:sz w:val="16"/>
      <w:szCs w:val="16"/>
      <w:lang w:val="it-IT"/>
    </w:rPr>
  </w:style>
  <w:style w:type="paragraph" w:styleId="Encabezado">
    <w:name w:val="header"/>
    <w:basedOn w:val="Normal"/>
    <w:link w:val="EncabezadoCar"/>
    <w:uiPriority w:val="99"/>
    <w:unhideWhenUsed/>
    <w:rsid w:val="00DC16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1633"/>
    <w:rPr>
      <w:lang w:val="it-IT"/>
    </w:rPr>
  </w:style>
  <w:style w:type="paragraph" w:styleId="Piedepgina">
    <w:name w:val="footer"/>
    <w:basedOn w:val="Normal"/>
    <w:link w:val="PiedepginaCar"/>
    <w:uiPriority w:val="99"/>
    <w:unhideWhenUsed/>
    <w:rsid w:val="00DC16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1633"/>
    <w:rPr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3E36"/>
    <w:rPr>
      <w:rFonts w:ascii="Tahoma" w:hAnsi="Tahoma" w:cs="Tahoma"/>
      <w:sz w:val="16"/>
      <w:szCs w:val="16"/>
      <w:lang w:val="it-IT"/>
    </w:rPr>
  </w:style>
  <w:style w:type="paragraph" w:styleId="Encabezado">
    <w:name w:val="header"/>
    <w:basedOn w:val="Normal"/>
    <w:link w:val="EncabezadoCar"/>
    <w:uiPriority w:val="99"/>
    <w:unhideWhenUsed/>
    <w:rsid w:val="00DC16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1633"/>
    <w:rPr>
      <w:lang w:val="it-IT"/>
    </w:rPr>
  </w:style>
  <w:style w:type="paragraph" w:styleId="Piedepgina">
    <w:name w:val="footer"/>
    <w:basedOn w:val="Normal"/>
    <w:link w:val="PiedepginaCar"/>
    <w:uiPriority w:val="99"/>
    <w:unhideWhenUsed/>
    <w:rsid w:val="00DC16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1633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20</Pages>
  <Words>3499</Words>
  <Characters>19247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Analista</dc:creator>
  <cp:lastModifiedBy>Analista</cp:lastModifiedBy>
  <cp:revision>2</cp:revision>
  <dcterms:created xsi:type="dcterms:W3CDTF">2017-05-01T07:04:00Z</dcterms:created>
  <dcterms:modified xsi:type="dcterms:W3CDTF">2017-05-01T08:13:00Z</dcterms:modified>
</cp:coreProperties>
</file>